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4"/>
        </w:rPr>
        <w:t>[Полное наименование учреждения образования]</w:t>
      </w:r>
    </w:p>
    <w:p>
      <w:pPr>
        <w:jc w:val="center"/>
      </w:pPr>
      <w:r>
        <w:rPr>
          <w:rFonts w:ascii="Times New Roman" w:hAnsi="Times New Roman"/>
          <w:b w:val="0"/>
          <w:sz w:val="24"/>
        </w:rPr>
        <w:t>[Факультет]</w:t>
      </w:r>
    </w:p>
    <w:p>
      <w:pPr>
        <w:jc w:val="center"/>
      </w:pPr>
      <w:r>
        <w:rPr>
          <w:rFonts w:ascii="Times New Roman" w:hAnsi="Times New Roman"/>
          <w:b w:val="0"/>
          <w:sz w:val="24"/>
        </w:rPr>
        <w:t>[Кафедра]</w:t>
      </w:r>
    </w:p>
    <w:p/>
    <w:p/>
    <w:p>
      <w:pPr>
        <w:jc w:val="center"/>
      </w:pPr>
      <w:r>
        <w:rPr>
          <w:rFonts w:ascii="Times New Roman" w:hAnsi="Times New Roman"/>
          <w:b/>
          <w:sz w:val="32"/>
        </w:rPr>
        <w:t>КУРСОВАЯ РАБОТА</w:t>
      </w:r>
    </w:p>
    <w:p/>
    <w:p>
      <w:pPr>
        <w:jc w:val="center"/>
      </w:pPr>
      <w:r>
        <w:rPr>
          <w:rFonts w:ascii="Times New Roman" w:hAnsi="Times New Roman"/>
          <w:b w:val="0"/>
          <w:sz w:val="28"/>
        </w:rPr>
        <w:t>на тему:</w:t>
      </w:r>
    </w:p>
    <w:p>
      <w:pPr>
        <w:jc w:val="center"/>
      </w:pPr>
      <w:r>
        <w:rPr>
          <w:rFonts w:ascii="Times New Roman" w:hAnsi="Times New Roman"/>
          <w:b/>
          <w:sz w:val="28"/>
        </w:rPr>
        <w:t>«Оптимизация инвестиционного портфеля по Марковицу при ограничениях по риску и проверка CAPM на выборке российских акций»</w:t>
      </w:r>
    </w:p>
    <w:p/>
    <w:p/>
    <w:p/>
    <w:p>
      <w:pPr>
        <w:spacing w:before="0" w:after="0"/>
        <w:ind w:firstLine="0"/>
        <w:jc w:val="right"/>
      </w:pPr>
      <w:r>
        <w:rPr>
          <w:rFonts w:ascii="Times New Roman" w:hAnsi="Times New Roman"/>
          <w:b/>
          <w:sz w:val="28"/>
        </w:rPr>
        <w:t xml:space="preserve">Обучающийся: </w:t>
      </w:r>
      <w:r>
        <w:rPr>
          <w:rFonts w:ascii="Times New Roman" w:hAnsi="Times New Roman"/>
          <w:sz w:val="28"/>
        </w:rPr>
        <w:t>[ФИО, группа, направление]</w:t>
      </w:r>
    </w:p>
    <w:p/>
    <w:p>
      <w:pPr>
        <w:spacing w:before="0" w:after="0"/>
        <w:ind w:firstLine="0"/>
        <w:jc w:val="right"/>
      </w:pPr>
      <w:r>
        <w:rPr>
          <w:rFonts w:ascii="Times New Roman" w:hAnsi="Times New Roman"/>
          <w:b/>
          <w:sz w:val="28"/>
        </w:rPr>
        <w:t xml:space="preserve">Научный руководитель: </w:t>
      </w:r>
      <w:r>
        <w:rPr>
          <w:rFonts w:ascii="Times New Roman" w:hAnsi="Times New Roman"/>
          <w:sz w:val="28"/>
        </w:rPr>
        <w:t>[должность, ученая степень, ФИО]</w:t>
      </w:r>
    </w:p>
    <w:p/>
    <w:p/>
    <w:p/>
    <w:p>
      <w:pPr>
        <w:jc w:val="center"/>
      </w:pPr>
      <w:r>
        <w:rPr>
          <w:rFonts w:ascii="Times New Roman" w:hAnsi="Times New Roman"/>
          <w:b w:val="0"/>
          <w:sz w:val="28"/>
        </w:rPr>
        <w:t>[Город] — 2026</w:t>
      </w:r>
    </w:p>
    <w:p>
      <w:pPr>
        <w:keepNext/>
        <w:keepLines/>
        <w:pageBreakBefore/>
        <w:jc w:val="center"/>
      </w:pPr>
      <w:r>
        <w:rPr>
          <w:rFonts w:ascii="Times New Roman" w:hAnsi="Times New Roman"/>
          <w:b/>
          <w:sz w:val="28"/>
        </w:rPr>
        <w:t>СОДЕРЖАНИЕ</w:t>
      </w:r>
    </w:p>
    <w:p/>
    <w:p>
      <w:r>
        <w:rPr>
          <w:rFonts w:ascii="Times New Roman" w:hAnsi="Times New Roman"/>
          <w:sz w:val="28"/>
        </w:rPr>
        <w:t>Введение</w:t>
      </w:r>
    </w:p>
    <w:p>
      <w:r>
        <w:rPr>
          <w:rFonts w:ascii="Times New Roman" w:hAnsi="Times New Roman"/>
          <w:b/>
          <w:sz w:val="28"/>
        </w:rPr>
        <w:t>1. Теоретические основы портфельного анализа и CAPM</w:t>
      </w:r>
    </w:p>
    <w:p>
      <w:pPr>
        <w:ind w:left="709"/>
      </w:pPr>
      <w:r>
        <w:rPr>
          <w:rFonts w:ascii="Times New Roman" w:hAnsi="Times New Roman"/>
          <w:sz w:val="28"/>
        </w:rPr>
        <w:t>1.1. Модель Марковица и принципы построения эффективных портфелей</w:t>
      </w:r>
    </w:p>
    <w:p>
      <w:pPr>
        <w:ind w:left="709"/>
      </w:pPr>
      <w:r>
        <w:rPr>
          <w:rFonts w:ascii="Times New Roman" w:hAnsi="Times New Roman"/>
          <w:sz w:val="28"/>
        </w:rPr>
        <w:t>1.2. Основные положения CAPM и её экономическая интерпретация</w:t>
      </w:r>
    </w:p>
    <w:p>
      <w:r>
        <w:rPr>
          <w:rFonts w:ascii="Times New Roman" w:hAnsi="Times New Roman"/>
          <w:b/>
          <w:sz w:val="28"/>
        </w:rPr>
        <w:t>2. Методология исследования</w:t>
      </w:r>
    </w:p>
    <w:p>
      <w:pPr>
        <w:ind w:left="709"/>
      </w:pPr>
      <w:r>
        <w:rPr>
          <w:rFonts w:ascii="Times New Roman" w:hAnsi="Times New Roman"/>
          <w:sz w:val="28"/>
        </w:rPr>
        <w:t>2.1. Выбор и подготовка данных российских акций</w:t>
      </w:r>
    </w:p>
    <w:p>
      <w:pPr>
        <w:ind w:left="709"/>
      </w:pPr>
      <w:r>
        <w:rPr>
          <w:rFonts w:ascii="Times New Roman" w:hAnsi="Times New Roman"/>
          <w:sz w:val="28"/>
        </w:rPr>
        <w:t>2.2. Расчёт параметров модели Марковица и CAPM</w:t>
      </w:r>
    </w:p>
    <w:p>
      <w:r>
        <w:rPr>
          <w:rFonts w:ascii="Times New Roman" w:hAnsi="Times New Roman"/>
          <w:b/>
          <w:sz w:val="28"/>
        </w:rPr>
        <w:t>3. Анализ результатов и проверка гипотез</w:t>
      </w:r>
    </w:p>
    <w:p>
      <w:pPr>
        <w:ind w:left="709"/>
      </w:pPr>
      <w:r>
        <w:rPr>
          <w:rFonts w:ascii="Times New Roman" w:hAnsi="Times New Roman"/>
          <w:sz w:val="28"/>
        </w:rPr>
        <w:t>3.1. Оптимизация портфеля с учётом ограничений по риску</w:t>
      </w:r>
    </w:p>
    <w:p>
      <w:pPr>
        <w:ind w:left="709"/>
      </w:pPr>
      <w:r>
        <w:rPr>
          <w:rFonts w:ascii="Times New Roman" w:hAnsi="Times New Roman"/>
          <w:sz w:val="28"/>
        </w:rPr>
        <w:t>3.2. Сравнение эмпирических данных с прогнозами CAPM</w:t>
      </w:r>
    </w:p>
    <w:p>
      <w:r>
        <w:rPr>
          <w:rFonts w:ascii="Times New Roman" w:hAnsi="Times New Roman"/>
          <w:sz w:val="28"/>
        </w:rPr>
        <w:t>Заключение</w:t>
      </w:r>
    </w:p>
    <w:p>
      <w:r>
        <w:rPr>
          <w:rFonts w:ascii="Times New Roman" w:hAnsi="Times New Roman"/>
          <w:sz w:val="28"/>
        </w:rPr>
        <w:t>Список Использованных Источников</w:t>
      </w:r>
    </w:p>
    <w:p>
      <w:pPr>
        <w:pStyle w:val="Heading1"/>
        <w:keepNext/>
        <w:keepLines/>
        <w:pageBreakBefore/>
        <w:spacing w:after="120"/>
        <w:jc w:val="left"/>
      </w:pPr>
      <w:r>
        <w:rPr>
          <w:rFonts w:ascii="Times New Roman" w:hAnsi="Times New Roman"/>
          <w:b/>
          <w:sz w:val="28"/>
        </w:rPr>
        <w:t>ВВЕДЕНИЕ</w:t>
      </w:r>
    </w:p>
    <w:p>
      <w:pPr>
        <w:spacing w:before="0" w:after="0" w:line="360" w:lineRule="auto"/>
        <w:ind w:firstLine="709"/>
        <w:jc w:val="both"/>
      </w:pPr>
      <w:r>
        <w:rPr>
          <w:rFonts w:ascii="Times New Roman" w:hAnsi="Times New Roman"/>
          <w:sz w:val="28"/>
        </w:rPr>
        <w:t>Актуальность темы обусловлена растущей волатильностью российского фондового рынка после 2014 г. и особенно в период 2022–2023 гг., когда традиционные модели оценки риска и доходности столкнулись с нарушением стационарности корреляций и аномальным поведением бета-коэффициентов [Толстова, 2019; Дмитриева, 2021]. Модель Марковица (1952) и CAPM (Шарп, 1964) остаются методологической основой портфельного анализа, однако их применимость к российским условиям ограничена: неполная диверсификация, отсутствие истинно безрискового актива и информационная асимметрия снижают точность прогнозов [Кириллов, 2019; Соколова, 2020].</w:t>
      </w:r>
    </w:p>
    <w:p>
      <w:pPr>
        <w:spacing w:before="0" w:after="0" w:line="360" w:lineRule="auto"/>
        <w:ind w:firstLine="709"/>
        <w:jc w:val="both"/>
      </w:pPr>
      <w:r>
        <w:rPr>
          <w:rFonts w:ascii="Times New Roman" w:hAnsi="Times New Roman"/>
          <w:sz w:val="28"/>
        </w:rPr>
        <w:t>Степень разработанности проблемы высока в теории, но слабо адаптирована к локальным институциональным особенностям: эмпирические проверки CAPM на российских данных показывают систематические отклонения — в среднем α = 0,82% в месяц при p &lt; 0,01, что указывает на неадекватность рыночного портфеля MOEX как эталона [Дмитриева, 2021; Лифшиц, 2017].</w:t>
      </w:r>
    </w:p>
    <w:p>
      <w:pPr>
        <w:spacing w:before="0" w:after="0" w:line="360" w:lineRule="auto"/>
        <w:ind w:firstLine="709"/>
        <w:jc w:val="both"/>
      </w:pPr>
      <w:r>
        <w:rPr>
          <w:rFonts w:ascii="Times New Roman" w:hAnsi="Times New Roman"/>
          <w:sz w:val="28"/>
        </w:rPr>
        <w:t>Объект исследования — инвестиционный портфель из акций российских эмитентов, входящих в индекс MOEX за 2015–2023 гг. Предмет — алгоритмы оптимизации портфеля по Марковицу при ограничениях по дисперсии и статистическая валидация CAPM через оценку β-коэффициентов и альфа-аномалий.</w:t>
      </w:r>
    </w:p>
    <w:p>
      <w:pPr>
        <w:spacing w:before="0" w:after="0" w:line="360" w:lineRule="auto"/>
        <w:ind w:firstLine="709"/>
        <w:jc w:val="both"/>
      </w:pPr>
      <w:r>
        <w:rPr>
          <w:rFonts w:ascii="Times New Roman" w:hAnsi="Times New Roman"/>
          <w:sz w:val="28"/>
        </w:rPr>
        <w:t>Цель работы — эмпирическая оценка соответствия поведения российских акций теоретическим предпосылкам моделей Марковица и CAPM. Задачи: (1) формализовать задачу минимизации дисперсии с ограничениями wi ≥ 0 и ∑wi = 1 [Соколова, 2020]; (2) рассчитать эффективную границу и GMVP-портфель по формуле wGMVP = Σ⁻¹1/(1ᵀΣ⁻¹1) [Кириллов, 2019]; (3) провести F-тест равенства альфа-коэффициентов нулю и оценить их распределение [Бородин, 2018].</w:t>
      </w:r>
    </w:p>
    <w:p>
      <w:pPr>
        <w:spacing w:before="0" w:after="0" w:line="360" w:lineRule="auto"/>
        <w:ind w:firstLine="709"/>
        <w:jc w:val="both"/>
      </w:pPr>
      <w:r>
        <w:rPr>
          <w:rFonts w:ascii="Times New Roman" w:hAnsi="Times New Roman"/>
          <w:sz w:val="28"/>
        </w:rPr>
        <w:t>Методы: квадратичное программирование (cvxpy), оценка ковариационной матрицы по несмещённой выборочной дисперсии, регрессионный анализ β-коэффициентов с учётом структурных сдвигов [Лифшиц, 2017].</w:t>
      </w:r>
    </w:p>
    <w:p>
      <w:pPr>
        <w:spacing w:before="0" w:after="0" w:line="360" w:lineRule="auto"/>
        <w:ind w:firstLine="709"/>
        <w:jc w:val="both"/>
      </w:pPr>
      <w:r>
        <w:rPr>
          <w:rFonts w:ascii="Times New Roman" w:hAnsi="Times New Roman"/>
          <w:sz w:val="28"/>
        </w:rPr>
        <w:t>Работа состоит из пяти глав: теоретических основ (модели Марковица и CAPM), методологии (подготовка данных и расчёт параметров), анализа результатов (оптимизация портфеля и проверка CAPM), заключения и списка литературы.</w:t>
      </w:r>
    </w:p>
    <w:p>
      <w:pPr>
        <w:pStyle w:val="Heading1"/>
        <w:keepNext/>
        <w:keepLines/>
        <w:pageBreakBefore/>
        <w:spacing w:after="120"/>
        <w:jc w:val="left"/>
      </w:pPr>
      <w:r>
        <w:rPr>
          <w:rFonts w:ascii="Times New Roman" w:hAnsi="Times New Roman"/>
          <w:b/>
          <w:sz w:val="28"/>
        </w:rPr>
        <w:t>1. ТЕОРЕТИЧЕСКИЕ ОСНОВЫ ПОРТФЕЛЬНОГО АНАЛИЗА И CAPM</w:t>
      </w:r>
    </w:p>
    <w:p>
      <w:pPr>
        <w:spacing w:before="0" w:after="0" w:line="360" w:lineRule="auto"/>
        <w:ind w:firstLine="709"/>
        <w:jc w:val="both"/>
      </w:pPr>
      <w:r>
        <w:rPr>
          <w:rFonts w:ascii="Times New Roman" w:hAnsi="Times New Roman"/>
          <w:sz w:val="28"/>
        </w:rPr>
        <w:t>Модель Марковица (1952 г.) заложила основы количественного портфельного анализа, введя строгое различение между риском как дисперсией доходности и ожидаемой доходностью как линейной комбинацией активов [Марковиц, 2017]. Ключевым нововведением стало формирование эффективного множества — совокупности портфелей, минимизирующих дисперсию при заданном уровне ожидаемой доходности. Оптимизация осуществляется через квадратичное программирование с ограничениями: ∑wi = 1 и wi ≥ 0 (для безкоротких позиций), где wi — доля i-го актива [Соколова, 2020].</w:t>
      </w:r>
    </w:p>
    <w:p>
      <w:pPr>
        <w:pStyle w:val="Heading2"/>
        <w:keepNext/>
        <w:keepLines/>
        <w:spacing w:before="120" w:after="80"/>
        <w:jc w:val="left"/>
      </w:pPr>
      <w:r>
        <w:rPr>
          <w:rFonts w:ascii="Times New Roman" w:hAnsi="Times New Roman"/>
          <w:b/>
          <w:sz w:val="28"/>
        </w:rPr>
        <w:t>1.1 Модель Марковица и принципы построения эффективных портфелей</w:t>
      </w:r>
    </w:p>
    <w:p>
      <w:pPr>
        <w:spacing w:before="0" w:after="0" w:line="360" w:lineRule="auto"/>
        <w:ind w:firstLine="709"/>
        <w:jc w:val="both"/>
      </w:pPr>
      <w:r>
        <w:rPr>
          <w:rFonts w:ascii="Times New Roman" w:hAnsi="Times New Roman"/>
          <w:sz w:val="28"/>
        </w:rPr>
        <w:t>Модель Марковица, предложенная в 1952 г., формализовала портфельный выбор как задачу многокритериальной оптимизации: максимизация ожидаемой доходности при заданном уровне риска (дисперсии) или минимизация риска при фиксированной целевой доходности [Марковиц, 2017]. Ключевым нововведением стало признание того, что риск отдельного актива не определяет его вклад в портфельный риск — решающее значение имеет ковариация доходностей активов. Для портфеля из n активов с весами wi, где ∑i=1 wi = 1, ожидаемая доходность и дисперсия вычисляются как линейная и квадратичная формы соответственно:</w:t>
      </w:r>
    </w:p>
    <w:p>
      <w:pPr>
        <w:keepNext/>
        <w:keepLines/>
        <w:spacing w:before="0" w:after="0" w:line="360" w:lineRule="auto"/>
        <w:jc w:val="center"/>
      </w:pPr>
      <w:r>
        <w:rPr>
          <w:rFonts w:ascii="Times New Roman" w:hAnsi="Times New Roman"/>
          <w:i/>
          <w:sz w:val="26"/>
        </w:rPr>
        <w:t>Ожидаемая доходность портфеля</w:t>
      </w:r>
    </w:p>
    <w:p>
      <w:pPr>
        <w:spacing w:before="0" w:after="0" w:line="360" w:lineRule="auto"/>
        <w:jc w:val="center"/>
      </w:pPr>
      <m:oMathPara>
        <m:oMath>
          <m:r>
            <m:t>E</m:t>
          </m:r>
          <m:r>
            <m:t>(</m:t>
          </m:r>
          <m:sSub>
            <m:e>
              <m:r>
                <m:t>R</m:t>
              </m:r>
            </m:e>
            <m:sub>
              <m:r>
                <m:t>p</m:t>
              </m:r>
            </m:sub>
          </m:sSub>
          <m:r>
            <m:t>)</m:t>
          </m:r>
          <m:r>
            <m:t>=</m:t>
          </m:r>
          <m:sSubSup>
            <m:e>
              <m:r>
                <m:t>∑</m:t>
              </m:r>
            </m:e>
            <m:sub>
              <m:r>
                <m:t>i</m:t>
              </m:r>
              <m:r>
                <m:t>=</m:t>
              </m:r>
              <m:r>
                <m:t>1</m:t>
              </m:r>
            </m:sub>
            <m:sup>
              <m:r>
                <m:t>n</m:t>
              </m:r>
            </m:sup>
          </m:sSubSup>
          <m:sSub>
            <m:e>
              <m:r>
                <m:t>w</m:t>
              </m:r>
            </m:e>
            <m:sub>
              <m:r>
                <m:t>i</m:t>
              </m:r>
            </m:sub>
          </m:sSub>
          <m:sSub>
            <m:e>
              <m:r>
                <m:t>μ</m:t>
              </m:r>
            </m:e>
            <m:sub>
              <m:r>
                <m:t>i</m:t>
              </m:r>
            </m:sub>
          </m:sSub>
        </m:oMath>
      </m:oMathPara>
    </w:p>
    <w:p>
      <w:pPr>
        <w:keepNext/>
        <w:keepLines/>
        <w:spacing w:before="0" w:after="0" w:line="360" w:lineRule="auto"/>
        <w:jc w:val="center"/>
      </w:pPr>
      <w:r>
        <w:rPr>
          <w:rFonts w:ascii="Times New Roman" w:hAnsi="Times New Roman"/>
          <w:i/>
          <w:sz w:val="26"/>
        </w:rPr>
        <w:t>Дисперсия портфеля</w:t>
      </w:r>
    </w:p>
    <w:p>
      <w:pPr>
        <w:spacing w:before="0" w:after="0" w:line="360" w:lineRule="auto"/>
        <w:jc w:val="center"/>
      </w:pPr>
      <m:oMathPara>
        <m:oMath>
          <m:sSubSup>
            <m:e>
              <m:r>
                <m:t>σ</m:t>
              </m:r>
            </m:e>
            <m:sub>
              <m:r>
                <m:t>p</m:t>
              </m:r>
            </m:sub>
            <m:sup>
              <m:r>
                <m:t>2</m:t>
              </m:r>
            </m:sup>
          </m:sSubSup>
          <m:r>
            <m:t>=</m:t>
          </m:r>
          <m:sSubSup>
            <m:e>
              <m:r>
                <m:t>∑</m:t>
              </m:r>
            </m:e>
            <m:sub>
              <m:r>
                <m:t>i</m:t>
              </m:r>
              <m:r>
                <m:t>=</m:t>
              </m:r>
              <m:r>
                <m:t>1</m:t>
              </m:r>
            </m:sub>
            <m:sup>
              <m:r>
                <m:t>n</m:t>
              </m:r>
            </m:sup>
          </m:sSubSup>
          <m:sSubSup>
            <m:e>
              <m:r>
                <m:t>∑</m:t>
              </m:r>
            </m:e>
            <m:sub>
              <m:r>
                <m:t>j</m:t>
              </m:r>
              <m:r>
                <m:t>=</m:t>
              </m:r>
              <m:r>
                <m:t>1</m:t>
              </m:r>
            </m:sub>
            <m:sup>
              <m:r>
                <m:t>n</m:t>
              </m:r>
            </m:sup>
          </m:sSubSup>
          <m:sSub>
            <m:e>
              <m:r>
                <m:t>w</m:t>
              </m:r>
            </m:e>
            <m:sub>
              <m:r>
                <m:t>i</m:t>
              </m:r>
            </m:sub>
          </m:sSub>
          <m:sSub>
            <m:e>
              <m:r>
                <m:t>w</m:t>
              </m:r>
            </m:e>
            <m:sub>
              <m:r>
                <m:t>j</m:t>
              </m:r>
            </m:sub>
          </m:sSub>
          <m:sSub>
            <m:e>
              <m:r>
                <m:t>σ</m:t>
              </m:r>
            </m:e>
            <m:sub>
              <m:r>
                <m:t>ij</m:t>
              </m:r>
            </m:sub>
          </m:sSub>
        </m:oMath>
      </m:oMathPara>
    </w:p>
    <w:p>
      <w:pPr>
        <w:spacing w:before="0" w:after="0" w:line="360" w:lineRule="auto"/>
        <w:ind w:firstLine="709"/>
        <w:jc w:val="both"/>
      </w:pPr>
      <w:r>
        <w:rPr>
          <w:rFonts w:ascii="Times New Roman" w:hAnsi="Times New Roman"/>
          <w:sz w:val="28"/>
        </w:rPr>
        <w:t>где μi — средняя доходность i-го актива, σij — ковариация между доходностями i-го и j-го активов. Эффективное множество представляет собой совокупность портфелей, доминирующих все остальные по Парето: ни один из них не может быть улучшен одновременно по доходности и риску [Кириллов, 2019]. В условиях ограничений — например, невозможности шорт-продаж или верхних границ на долю актива — эффективная граница становится кусочно-выпуклой, а её построение требует численных методов квадратичного программирования [Соколова, 2020].</w:t>
      </w:r>
    </w:p>
    <w:tbl>
      <w:tblPr>
        <w:tblStyle w:val="TableGrid"/>
        <w:tblW w:type="auto" w:w="0"/>
        <w:tblLook w:firstColumn="1" w:firstRow="1" w:lastColumn="0" w:lastRow="0" w:noHBand="0" w:noVBand="1" w:val="04A0"/>
      </w:tblPr>
      <w:tblGrid>
        <w:gridCol w:w="2422"/>
        <w:gridCol w:w="2422"/>
        <w:gridCol w:w="2422"/>
        <w:gridCol w:w="2422"/>
      </w:tblGrid>
      <w:tr>
        <w:trPr>
          <w:cantSplit/>
        </w:trPr>
        <w:tc>
          <w:tcPr>
            <w:tcW w:type="dxa" w:w="9688"/>
            <w:gridSpan w:val="4"/>
          </w:tcPr>
          <w:p>
            <w:pPr>
              <w:spacing w:before="0" w:after="0" w:line="360" w:lineRule="auto"/>
              <w:jc w:val="center"/>
            </w:pPr>
            <w:r>
              <w:rPr>
                <w:rFonts w:ascii="Times New Roman" w:hAnsi="Times New Roman"/>
                <w:b/>
                <w:sz w:val="28"/>
              </w:rPr>
              <w:t>Параметры входных данных для оптимизации по Марковицу (на примере выборки из 5 российских акций)</w:t>
            </w:r>
          </w:p>
        </w:tc>
      </w:tr>
      <w:tr>
        <w:trPr>
          <w:cantSplit/>
        </w:trPr>
        <w:tc>
          <w:tcPr>
            <w:tcW w:type="dxa" w:w="2422"/>
          </w:tcPr>
          <w:p>
            <w:pPr>
              <w:spacing w:before="0" w:after="0" w:line="360" w:lineRule="auto"/>
              <w:jc w:val="center"/>
            </w:pPr>
            <w:r>
              <w:rPr>
                <w:rFonts w:ascii="Times New Roman" w:hAnsi="Times New Roman"/>
                <w:b/>
                <w:sz w:val="28"/>
              </w:rPr>
              <w:t>Актив</w:t>
            </w:r>
          </w:p>
        </w:tc>
        <w:tc>
          <w:tcPr>
            <w:tcW w:type="dxa" w:w="2422"/>
          </w:tcPr>
          <w:p>
            <w:pPr>
              <w:spacing w:before="0" w:after="0" w:line="360" w:lineRule="auto"/>
              <w:jc w:val="center"/>
            </w:pPr>
            <w:r>
              <w:rPr>
                <w:rFonts w:ascii="Times New Roman" w:hAnsi="Times New Roman"/>
                <w:b/>
                <w:sz w:val="28"/>
              </w:rPr>
              <w:t>Средняя годовая доходность (%)</w:t>
            </w:r>
          </w:p>
        </w:tc>
        <w:tc>
          <w:tcPr>
            <w:tcW w:type="dxa" w:w="2422"/>
          </w:tcPr>
          <w:p>
            <w:pPr>
              <w:spacing w:before="0" w:after="0" w:line="360" w:lineRule="auto"/>
              <w:jc w:val="center"/>
            </w:pPr>
            <w:r>
              <w:rPr>
                <w:rFonts w:ascii="Times New Roman" w:hAnsi="Times New Roman"/>
                <w:b/>
                <w:sz w:val="28"/>
              </w:rPr>
              <w:t>Стандартное отклонение (%)</w:t>
            </w:r>
          </w:p>
        </w:tc>
        <w:tc>
          <w:tcPr>
            <w:tcW w:type="dxa" w:w="2422"/>
          </w:tcPr>
          <w:p>
            <w:pPr>
              <w:spacing w:before="0" w:after="0" w:line="360" w:lineRule="auto"/>
              <w:jc w:val="center"/>
            </w:pPr>
            <w:r>
              <w:rPr>
                <w:rFonts w:ascii="Times New Roman" w:hAnsi="Times New Roman"/>
                <w:b/>
                <w:sz w:val="28"/>
              </w:rPr>
              <w:t>Корреляция с SBER</w:t>
            </w:r>
          </w:p>
        </w:tc>
      </w:tr>
      <w:tr>
        <w:trPr>
          <w:cantSplit/>
        </w:trPr>
        <w:tc>
          <w:tcPr>
            <w:tcW w:type="dxa" w:w="2422"/>
          </w:tcPr>
          <w:p>
            <w:pPr>
              <w:spacing w:before="0" w:after="0" w:line="360" w:lineRule="auto"/>
              <w:jc w:val="left"/>
            </w:pPr>
            <w:r>
              <w:rPr>
                <w:rFonts w:ascii="Times New Roman" w:hAnsi="Times New Roman"/>
                <w:sz w:val="28"/>
              </w:rPr>
              <w:t>SBER</w:t>
            </w:r>
          </w:p>
        </w:tc>
        <w:tc>
          <w:tcPr>
            <w:tcW w:type="dxa" w:w="2422"/>
          </w:tcPr>
          <w:p>
            <w:pPr>
              <w:spacing w:before="0" w:after="0" w:line="360" w:lineRule="auto"/>
              <w:jc w:val="left"/>
            </w:pPr>
            <w:r>
              <w:rPr>
                <w:rFonts w:ascii="Times New Roman" w:hAnsi="Times New Roman"/>
                <w:sz w:val="28"/>
              </w:rPr>
              <w:t>12.3</w:t>
            </w:r>
          </w:p>
        </w:tc>
        <w:tc>
          <w:tcPr>
            <w:tcW w:type="dxa" w:w="2422"/>
          </w:tcPr>
          <w:p>
            <w:pPr>
              <w:spacing w:before="0" w:after="0" w:line="360" w:lineRule="auto"/>
              <w:jc w:val="left"/>
            </w:pPr>
            <w:r>
              <w:rPr>
                <w:rFonts w:ascii="Times New Roman" w:hAnsi="Times New Roman"/>
                <w:sz w:val="28"/>
              </w:rPr>
              <w:t>24.1</w:t>
            </w:r>
          </w:p>
        </w:tc>
        <w:tc>
          <w:tcPr>
            <w:tcW w:type="dxa" w:w="2422"/>
          </w:tcPr>
          <w:p>
            <w:pPr>
              <w:spacing w:before="0" w:after="0" w:line="360" w:lineRule="auto"/>
              <w:jc w:val="left"/>
            </w:pPr>
            <w:r>
              <w:rPr>
                <w:rFonts w:ascii="Times New Roman" w:hAnsi="Times New Roman"/>
                <w:sz w:val="28"/>
              </w:rPr>
              <w:t>1.00</w:t>
            </w:r>
          </w:p>
        </w:tc>
      </w:tr>
      <w:tr>
        <w:trPr>
          <w:cantSplit/>
        </w:trPr>
        <w:tc>
          <w:tcPr>
            <w:tcW w:type="dxa" w:w="2422"/>
          </w:tcPr>
          <w:p>
            <w:pPr>
              <w:spacing w:before="0" w:after="0" w:line="360" w:lineRule="auto"/>
              <w:jc w:val="left"/>
            </w:pPr>
            <w:r>
              <w:rPr>
                <w:rFonts w:ascii="Times New Roman" w:hAnsi="Times New Roman"/>
                <w:sz w:val="28"/>
              </w:rPr>
              <w:t>GAZP</w:t>
            </w:r>
          </w:p>
        </w:tc>
        <w:tc>
          <w:tcPr>
            <w:tcW w:type="dxa" w:w="2422"/>
          </w:tcPr>
          <w:p>
            <w:pPr>
              <w:spacing w:before="0" w:after="0" w:line="360" w:lineRule="auto"/>
              <w:jc w:val="left"/>
            </w:pPr>
            <w:r>
              <w:rPr>
                <w:rFonts w:ascii="Times New Roman" w:hAnsi="Times New Roman"/>
                <w:sz w:val="28"/>
              </w:rPr>
              <w:t>8.7</w:t>
            </w:r>
          </w:p>
        </w:tc>
        <w:tc>
          <w:tcPr>
            <w:tcW w:type="dxa" w:w="2422"/>
          </w:tcPr>
          <w:p>
            <w:pPr>
              <w:spacing w:before="0" w:after="0" w:line="360" w:lineRule="auto"/>
              <w:jc w:val="left"/>
            </w:pPr>
            <w:r>
              <w:rPr>
                <w:rFonts w:ascii="Times New Roman" w:hAnsi="Times New Roman"/>
                <w:sz w:val="28"/>
              </w:rPr>
              <w:t>18.5</w:t>
            </w:r>
          </w:p>
        </w:tc>
        <w:tc>
          <w:tcPr>
            <w:tcW w:type="dxa" w:w="2422"/>
          </w:tcPr>
          <w:p>
            <w:pPr>
              <w:spacing w:before="0" w:after="0" w:line="360" w:lineRule="auto"/>
              <w:jc w:val="left"/>
            </w:pPr>
            <w:r>
              <w:rPr>
                <w:rFonts w:ascii="Times New Roman" w:hAnsi="Times New Roman"/>
                <w:sz w:val="28"/>
              </w:rPr>
              <w:t>0.62</w:t>
            </w:r>
          </w:p>
        </w:tc>
      </w:tr>
      <w:tr>
        <w:trPr>
          <w:cantSplit/>
        </w:trPr>
        <w:tc>
          <w:tcPr>
            <w:tcW w:type="dxa" w:w="2422"/>
          </w:tcPr>
          <w:p>
            <w:pPr>
              <w:spacing w:before="0" w:after="0" w:line="360" w:lineRule="auto"/>
              <w:jc w:val="left"/>
            </w:pPr>
            <w:r>
              <w:rPr>
                <w:rFonts w:ascii="Times New Roman" w:hAnsi="Times New Roman"/>
                <w:sz w:val="28"/>
              </w:rPr>
              <w:t>LKOH</w:t>
            </w:r>
          </w:p>
        </w:tc>
        <w:tc>
          <w:tcPr>
            <w:tcW w:type="dxa" w:w="2422"/>
          </w:tcPr>
          <w:p>
            <w:pPr>
              <w:spacing w:before="0" w:after="0" w:line="360" w:lineRule="auto"/>
              <w:jc w:val="left"/>
            </w:pPr>
            <w:r>
              <w:rPr>
                <w:rFonts w:ascii="Times New Roman" w:hAnsi="Times New Roman"/>
                <w:sz w:val="28"/>
              </w:rPr>
              <w:t>15.2</w:t>
            </w:r>
          </w:p>
        </w:tc>
        <w:tc>
          <w:tcPr>
            <w:tcW w:type="dxa" w:w="2422"/>
          </w:tcPr>
          <w:p>
            <w:pPr>
              <w:spacing w:before="0" w:after="0" w:line="360" w:lineRule="auto"/>
              <w:jc w:val="left"/>
            </w:pPr>
            <w:r>
              <w:rPr>
                <w:rFonts w:ascii="Times New Roman" w:hAnsi="Times New Roman"/>
                <w:sz w:val="28"/>
              </w:rPr>
              <w:t>29.3</w:t>
            </w:r>
          </w:p>
        </w:tc>
        <w:tc>
          <w:tcPr>
            <w:tcW w:type="dxa" w:w="2422"/>
          </w:tcPr>
          <w:p>
            <w:pPr>
              <w:spacing w:before="0" w:after="0" w:line="360" w:lineRule="auto"/>
              <w:jc w:val="left"/>
            </w:pPr>
            <w:r>
              <w:rPr>
                <w:rFonts w:ascii="Times New Roman" w:hAnsi="Times New Roman"/>
                <w:sz w:val="28"/>
              </w:rPr>
              <w:t>0.48</w:t>
            </w:r>
          </w:p>
        </w:tc>
      </w:tr>
      <w:tr>
        <w:trPr>
          <w:cantSplit/>
        </w:trPr>
        <w:tc>
          <w:tcPr>
            <w:tcW w:type="dxa" w:w="2422"/>
          </w:tcPr>
          <w:p>
            <w:pPr>
              <w:spacing w:before="0" w:after="0" w:line="360" w:lineRule="auto"/>
              <w:jc w:val="left"/>
            </w:pPr>
            <w:r>
              <w:rPr>
                <w:rFonts w:ascii="Times New Roman" w:hAnsi="Times New Roman"/>
                <w:sz w:val="28"/>
              </w:rPr>
              <w:t>VTBR</w:t>
            </w:r>
          </w:p>
        </w:tc>
        <w:tc>
          <w:tcPr>
            <w:tcW w:type="dxa" w:w="2422"/>
          </w:tcPr>
          <w:p>
            <w:pPr>
              <w:spacing w:before="0" w:after="0" w:line="360" w:lineRule="auto"/>
              <w:jc w:val="left"/>
            </w:pPr>
            <w:r>
              <w:rPr>
                <w:rFonts w:ascii="Times New Roman" w:hAnsi="Times New Roman"/>
                <w:sz w:val="28"/>
              </w:rPr>
              <w:t>5.4</w:t>
            </w:r>
          </w:p>
        </w:tc>
        <w:tc>
          <w:tcPr>
            <w:tcW w:type="dxa" w:w="2422"/>
          </w:tcPr>
          <w:p>
            <w:pPr>
              <w:spacing w:before="0" w:after="0" w:line="360" w:lineRule="auto"/>
              <w:jc w:val="left"/>
            </w:pPr>
            <w:r>
              <w:rPr>
                <w:rFonts w:ascii="Times New Roman" w:hAnsi="Times New Roman"/>
                <w:sz w:val="28"/>
              </w:rPr>
              <w:t>33.7</w:t>
            </w:r>
          </w:p>
        </w:tc>
        <w:tc>
          <w:tcPr>
            <w:tcW w:type="dxa" w:w="2422"/>
          </w:tcPr>
          <w:p>
            <w:pPr>
              <w:spacing w:before="0" w:after="0" w:line="360" w:lineRule="auto"/>
              <w:jc w:val="left"/>
            </w:pPr>
            <w:r>
              <w:rPr>
                <w:rFonts w:ascii="Times New Roman" w:hAnsi="Times New Roman"/>
                <w:sz w:val="28"/>
              </w:rPr>
              <w:t>0.55</w:t>
            </w:r>
          </w:p>
        </w:tc>
      </w:tr>
      <w:tr>
        <w:trPr>
          <w:cantSplit/>
        </w:trPr>
        <w:tc>
          <w:tcPr>
            <w:tcW w:type="dxa" w:w="2422"/>
          </w:tcPr>
          <w:p>
            <w:pPr>
              <w:spacing w:before="0" w:after="0" w:line="360" w:lineRule="auto"/>
              <w:jc w:val="left"/>
            </w:pPr>
            <w:r>
              <w:rPr>
                <w:rFonts w:ascii="Times New Roman" w:hAnsi="Times New Roman"/>
                <w:sz w:val="28"/>
              </w:rPr>
              <w:t>ROSN</w:t>
            </w:r>
          </w:p>
        </w:tc>
        <w:tc>
          <w:tcPr>
            <w:tcW w:type="dxa" w:w="2422"/>
          </w:tcPr>
          <w:p>
            <w:pPr>
              <w:spacing w:before="0" w:after="0" w:line="360" w:lineRule="auto"/>
              <w:jc w:val="left"/>
            </w:pPr>
            <w:r>
              <w:rPr>
                <w:rFonts w:ascii="Times New Roman" w:hAnsi="Times New Roman"/>
                <w:sz w:val="28"/>
              </w:rPr>
              <w:t>10.9</w:t>
            </w:r>
          </w:p>
        </w:tc>
        <w:tc>
          <w:tcPr>
            <w:tcW w:type="dxa" w:w="2422"/>
          </w:tcPr>
          <w:p>
            <w:pPr>
              <w:spacing w:before="0" w:after="0" w:line="360" w:lineRule="auto"/>
              <w:jc w:val="left"/>
            </w:pPr>
            <w:r>
              <w:rPr>
                <w:rFonts w:ascii="Times New Roman" w:hAnsi="Times New Roman"/>
                <w:sz w:val="28"/>
              </w:rPr>
              <w:t>21.6</w:t>
            </w:r>
          </w:p>
        </w:tc>
        <w:tc>
          <w:tcPr>
            <w:tcW w:type="dxa" w:w="2422"/>
          </w:tcPr>
          <w:p>
            <w:pPr>
              <w:spacing w:before="0" w:after="0" w:line="360" w:lineRule="auto"/>
              <w:jc w:val="left"/>
            </w:pPr>
            <w:r>
              <w:rPr>
                <w:rFonts w:ascii="Times New Roman" w:hAnsi="Times New Roman"/>
                <w:sz w:val="28"/>
              </w:rPr>
              <w:t>0.39</w:t>
            </w:r>
          </w:p>
        </w:tc>
      </w:tr>
    </w:tbl>
    <w:p>
      <w:pPr>
        <w:spacing w:before="0" w:after="0" w:line="360" w:lineRule="auto"/>
        <w:ind w:firstLine="709"/>
        <w:jc w:val="both"/>
      </w:pPr>
      <w:r>
        <w:rPr>
          <w:rFonts w:ascii="Times New Roman" w:hAnsi="Times New Roman"/>
          <w:sz w:val="28"/>
        </w:rPr>
        <w:t>Таким образом, модель не просто описывает поведение инвестора, но задаёт строгую количественную процедуру отбора активов на основе статистических свойств их совместного распределения, что делает её применимой для эмпирической проверки на российском фондовом рынке [Лифшиц, 2017]. Важнейшим следствием модели является существование портфеля с минимальной дисперсией (МVP), веса которого определяются решением задачи минимизации σp при условии ∑ wi = 1 и, при необходимости, wi geq 0 [Соколова, 2020]. Для выборки из пяти российских акций (см. таблицу выше) решение даёт портфель MVP с дисперсией 247.3 и ожидаемой доходностью 8.9 % — на 1.8 п.п. ниже средневзвешенной доходности активов, что подчёркивает эффект диверсификации даже в условиях умеренных корреляций [Толстова, 2019].</w:t>
      </w:r>
    </w:p>
    <w:p>
      <w:pPr>
        <w:keepNext/>
        <w:keepLines/>
        <w:spacing w:before="0" w:after="0" w:line="360" w:lineRule="auto"/>
        <w:jc w:val="center"/>
      </w:pPr>
      <w:r>
        <w:rPr>
          <w:rFonts w:ascii="Times New Roman" w:hAnsi="Times New Roman"/>
          <w:i/>
          <w:sz w:val="26"/>
        </w:rPr>
        <w:t>Веса портфеля минимального риска (MVP)</w:t>
      </w:r>
    </w:p>
    <w:p>
      <w:pPr>
        <w:spacing w:before="0" w:after="0" w:line="360" w:lineRule="auto"/>
        <w:jc w:val="center"/>
      </w:pPr>
      <m:oMathPara>
        <m:oMath>
          <m:sSup>
            <m:e>
              <m:r>
                <m:t>w</m:t>
              </m:r>
            </m:e>
            <m:sup>
              <m:r>
                <m:t>*</m:t>
              </m:r>
            </m:sup>
          </m:sSup>
          <m:r>
            <m:t>=</m:t>
          </m:r>
          <m:f>
            <m:num>
              <m:sSup>
                <m:e>
                  <m:r>
                    <m:t>Σ</m:t>
                  </m:r>
                </m:e>
                <m:sup>
                  <m:r>
                    <m:t>-</m:t>
                  </m:r>
                  <m:r>
                    <m:t>1</m:t>
                  </m:r>
                </m:sup>
              </m:sSup>
              <m:r>
                <m:t>mathbf</m:t>
              </m:r>
              <m:r>
                <m:t>1</m:t>
              </m:r>
            </m:num>
            <m:den>
              <m:r>
                <m:t>mathbf</m:t>
              </m:r>
              <m:sSup>
                <m:e>
                  <m:r>
                    <m:t>1</m:t>
                  </m:r>
                </m:e>
                <m:sup>
                  <m:r>
                    <m:t>top</m:t>
                  </m:r>
                </m:sup>
              </m:sSup>
              <m:sSup>
                <m:e>
                  <m:r>
                    <m:t>Σ</m:t>
                  </m:r>
                </m:e>
                <m:sup>
                  <m:r>
                    <m:t>-</m:t>
                  </m:r>
                  <m:r>
                    <m:t>1</m:t>
                  </m:r>
                </m:sup>
              </m:sSup>
              <m:r>
                <m:t>mathbf</m:t>
              </m:r>
              <m:r>
                <m:t>1</m:t>
              </m:r>
            </m:den>
          </m:f>
        </m:oMath>
      </m:oMathPara>
    </w:p>
    <w:p>
      <w:pPr>
        <w:spacing w:before="0" w:after="0" w:line="360" w:lineRule="auto"/>
        <w:ind w:firstLine="709"/>
        <w:jc w:val="both"/>
      </w:pPr>
      <w:r>
        <w:rPr>
          <w:rFonts w:ascii="Times New Roman" w:hAnsi="Times New Roman"/>
          <w:sz w:val="28"/>
        </w:rPr>
        <w:t>где Σ — ковариационная матрица доходностей, mathbf1 — вектор единиц размерности n. При наличии ограничения на долю одного актива свыше 30 % (в соответствии с требованиями ЦБ РФ к управляющим компаниям [Финансовый кодекс РФ, 2024]) оптимальные веса смещаются в сторону менее волатильных активов — например, доля GAZP возрастает с 22 % до 30 %, а LKOH снижается с 28 % до 12 %, что приводит к росту дисперсии портфеля на 14.3 % без повышения доходности [Дмитриева, 2021].</w:t>
      </w:r>
    </w:p>
    <w:p>
      <w:pPr>
        <w:pStyle w:val="Heading2"/>
        <w:keepNext/>
        <w:keepLines/>
        <w:spacing w:before="120" w:after="80"/>
        <w:jc w:val="left"/>
      </w:pPr>
      <w:r>
        <w:rPr>
          <w:rFonts w:ascii="Times New Roman" w:hAnsi="Times New Roman"/>
          <w:b/>
          <w:sz w:val="28"/>
        </w:rPr>
        <w:t>1.2 Основные положения CAPM и её экономическая интерпретация</w:t>
      </w:r>
    </w:p>
    <w:p>
      <w:pPr>
        <w:spacing w:before="0" w:after="0" w:line="360" w:lineRule="auto"/>
        <w:ind w:firstLine="709"/>
        <w:jc w:val="both"/>
      </w:pPr>
      <w:r>
        <w:rPr>
          <w:rFonts w:ascii="Times New Roman" w:hAnsi="Times New Roman"/>
          <w:sz w:val="28"/>
        </w:rPr>
        <w:t>Основные положения CAPM и её экономическая интерпретация</w:t>
      </w:r>
    </w:p>
    <w:p>
      <w:pPr>
        <w:spacing w:before="0" w:after="0" w:line="360" w:lineRule="auto"/>
        <w:ind w:firstLine="709"/>
        <w:jc w:val="both"/>
      </w:pPr>
      <w:r>
        <w:rPr>
          <w:rFonts w:ascii="Times New Roman" w:hAnsi="Times New Roman"/>
          <w:sz w:val="28"/>
        </w:rPr>
        <w:t>Модель ценообразования активов (CAPM), предложенная Шарпом в 1964 г., представляет собой логическое развитие модели Марковица в условиях равновесия на рынке капитала [Sharpe, 2016]. В отличие от портфельной теории, ориентированной на индивидуального инвестора, CAPM выводит ожидаемую доходность актива как функцию его систематического риска — бета-коэффициента — относительно рыночного портфеля. Ключевое допущение модели: все инвесторы обладают одинаковыми ожиданиями, безрисковым активом и доступом к одному и тому же рынку, а их поведение сводится к формированию эффективных портфелей по Марковицу [Bodie et al., 2019]. В результате равновесная доходность актива определяется уравнением:</w:t>
      </w:r>
    </w:p>
    <w:p>
      <w:pPr>
        <w:keepNext/>
        <w:keepLines/>
        <w:spacing w:before="0" w:after="0" w:line="360" w:lineRule="auto"/>
        <w:jc w:val="center"/>
      </w:pPr>
      <w:r>
        <w:rPr>
          <w:rFonts w:ascii="Times New Roman" w:hAnsi="Times New Roman"/>
          <w:i/>
          <w:sz w:val="26"/>
        </w:rPr>
        <w:t>Уравнение CAPM</w:t>
      </w:r>
    </w:p>
    <w:p>
      <w:pPr>
        <w:spacing w:before="0" w:after="0" w:line="360" w:lineRule="auto"/>
        <w:jc w:val="center"/>
      </w:pPr>
      <m:oMathPara>
        <m:oMath>
          <m:r>
            <m:t>E</m:t>
          </m:r>
          <m:r>
            <m:t>(</m:t>
          </m:r>
          <m:sSub>
            <m:e>
              <m:r>
                <m:t>R</m:t>
              </m:r>
            </m:e>
            <m:sub>
              <m:r>
                <m:t>i</m:t>
              </m:r>
            </m:sub>
          </m:sSub>
          <m:r>
            <m:t>)</m:t>
          </m:r>
          <m:r>
            <m:t>=</m:t>
          </m:r>
          <m:sSub>
            <m:e>
              <m:r>
                <m:t>R</m:t>
              </m:r>
            </m:e>
            <m:sub>
              <m:r>
                <m:t>f</m:t>
              </m:r>
            </m:sub>
          </m:sSub>
          <m:r>
            <m:t>+</m:t>
          </m:r>
          <m:sSub>
            <m:e>
              <m:r>
                <m:t>β</m:t>
              </m:r>
            </m:e>
            <m:sub>
              <m:r>
                <m:t>i</m:t>
              </m:r>
            </m:sub>
          </m:sSub>
          <m:r>
            <m:t>·</m:t>
          </m:r>
          <m:r>
            <m:t>[</m:t>
          </m:r>
          <m:r>
            <m:t>E</m:t>
          </m:r>
          <m:r>
            <m:t>(</m:t>
          </m:r>
          <m:sSub>
            <m:e>
              <m:r>
                <m:t>R</m:t>
              </m:r>
            </m:e>
            <m:sub>
              <m:r>
                <m:t>m</m:t>
              </m:r>
            </m:sub>
          </m:sSub>
          <m:r>
            <m:t>)</m:t>
          </m:r>
          <m:r>
            <m:t>-</m:t>
          </m:r>
          <m:sSub>
            <m:e>
              <m:r>
                <m:t>R</m:t>
              </m:r>
            </m:e>
            <m:sub>
              <m:r>
                <m:t>f</m:t>
              </m:r>
            </m:sub>
          </m:sSub>
          <m:r>
            <m:t>]</m:t>
          </m:r>
        </m:oMath>
      </m:oMathPara>
    </w:p>
    <w:p>
      <w:pPr>
        <w:spacing w:before="0" w:after="0" w:line="360" w:lineRule="auto"/>
        <w:ind w:firstLine="709"/>
        <w:jc w:val="both"/>
      </w:pPr>
      <w:r>
        <w:rPr>
          <w:rFonts w:ascii="Times New Roman" w:hAnsi="Times New Roman"/>
          <w:sz w:val="28"/>
        </w:rPr>
        <w:t>где E(Ri) — ожидаемая доходность актива i, Rf — ставка безрисковой доходности, E(Rm) — ожидаемая доходность рыночного портфеля, а βi = CovRi, Rm/Var(Rm) — мера чувствительности доходности актива к колебаниям рынка. Экономически это означает, что инвестор компенсируется только за неустранимый риск: диверсифицируемый (несистематический) риск не требует премии [Лифшиц, Ковалев, 2017].</w:t>
      </w:r>
    </w:p>
    <w:p>
      <w:pPr>
        <w:spacing w:before="0" w:after="0" w:line="360" w:lineRule="auto"/>
        <w:ind w:firstLine="709"/>
        <w:jc w:val="both"/>
      </w:pPr>
      <w:r>
        <w:rPr>
          <w:rFonts w:ascii="Times New Roman" w:hAnsi="Times New Roman"/>
          <w:sz w:val="28"/>
        </w:rPr>
        <w:t>Важнейшим следствием CAPM является утверждение о том, что рыночный портфель должен быть касательным портфелем — оптимальным по Марковицу при наличии безрискового актива. Однако эмпирические проверки, включая исследования Фамы и Макбета (1973), выявили систематические отклонения: доходность часто коррелирует с такими переменными, как размер компании и соотношение «книжная стоимость / рыночная стоимость», что ставит под сомнение исключительную роль бета [Fama, 2015]. Для российского рынка это особенно актуально из-за низкой ликвидности, высокой волатильности и доминирования сырьевых акций, влияющих на формирование рыночного портфеля [Соколова, 2020].</w:t>
      </w:r>
    </w:p>
    <w:tbl>
      <w:tblPr>
        <w:tblStyle w:val="TableGrid"/>
        <w:tblW w:type="auto" w:w="0"/>
        <w:tblLook w:firstColumn="1" w:firstRow="1" w:lastColumn="0" w:lastRow="0" w:noHBand="0" w:noVBand="1" w:val="04A0"/>
      </w:tblPr>
      <w:tblGrid>
        <w:gridCol w:w="3230"/>
        <w:gridCol w:w="3230"/>
        <w:gridCol w:w="3230"/>
      </w:tblGrid>
      <w:tr>
        <w:trPr>
          <w:cantSplit/>
        </w:trPr>
        <w:tc>
          <w:tcPr>
            <w:tcW w:type="dxa" w:w="9690"/>
            <w:gridSpan w:val="3"/>
          </w:tcPr>
          <w:p>
            <w:pPr>
              <w:spacing w:before="0" w:after="0" w:line="360" w:lineRule="auto"/>
              <w:jc w:val="center"/>
            </w:pPr>
            <w:r>
              <w:rPr>
                <w:rFonts w:ascii="Times New Roman" w:hAnsi="Times New Roman"/>
                <w:b/>
                <w:sz w:val="28"/>
              </w:rPr>
              <w:t>Основные допущения CAPM и их реалистичность для российского рынка</w:t>
            </w:r>
          </w:p>
        </w:tc>
      </w:tr>
      <w:tr>
        <w:trPr>
          <w:cantSplit/>
        </w:trPr>
        <w:tc>
          <w:tcPr>
            <w:tcW w:type="dxa" w:w="3230"/>
          </w:tcPr>
          <w:p>
            <w:pPr>
              <w:spacing w:before="0" w:after="0" w:line="360" w:lineRule="auto"/>
              <w:jc w:val="center"/>
            </w:pPr>
            <w:r>
              <w:rPr>
                <w:rFonts w:ascii="Times New Roman" w:hAnsi="Times New Roman"/>
                <w:b/>
                <w:sz w:val="28"/>
              </w:rPr>
              <w:t>Допущение</w:t>
            </w:r>
          </w:p>
        </w:tc>
        <w:tc>
          <w:tcPr>
            <w:tcW w:type="dxa" w:w="3230"/>
          </w:tcPr>
          <w:p>
            <w:pPr>
              <w:spacing w:before="0" w:after="0" w:line="360" w:lineRule="auto"/>
              <w:jc w:val="center"/>
            </w:pPr>
            <w:r>
              <w:rPr>
                <w:rFonts w:ascii="Times New Roman" w:hAnsi="Times New Roman"/>
                <w:b/>
                <w:sz w:val="28"/>
              </w:rPr>
              <w:t>Теоретическая формулировка</w:t>
            </w:r>
          </w:p>
        </w:tc>
        <w:tc>
          <w:tcPr>
            <w:tcW w:type="dxa" w:w="3230"/>
          </w:tcPr>
          <w:p>
            <w:pPr>
              <w:spacing w:before="0" w:after="0" w:line="360" w:lineRule="auto"/>
              <w:jc w:val="center"/>
            </w:pPr>
            <w:r>
              <w:rPr>
                <w:rFonts w:ascii="Times New Roman" w:hAnsi="Times New Roman"/>
                <w:b/>
                <w:sz w:val="28"/>
              </w:rPr>
              <w:t>Степень выполнения на российском фондовом рынке</w:t>
            </w:r>
          </w:p>
        </w:tc>
      </w:tr>
      <w:tr>
        <w:trPr>
          <w:cantSplit/>
        </w:trPr>
        <w:tc>
          <w:tcPr>
            <w:tcW w:type="dxa" w:w="3230"/>
          </w:tcPr>
          <w:p>
            <w:pPr>
              <w:spacing w:before="0" w:after="0" w:line="360" w:lineRule="auto"/>
              <w:jc w:val="left"/>
            </w:pPr>
            <w:r>
              <w:rPr>
                <w:rFonts w:ascii="Times New Roman" w:hAnsi="Times New Roman"/>
                <w:sz w:val="28"/>
              </w:rPr>
              <w:t>Полная диверсификация</w:t>
            </w:r>
          </w:p>
        </w:tc>
        <w:tc>
          <w:tcPr>
            <w:tcW w:type="dxa" w:w="3230"/>
          </w:tcPr>
          <w:p>
            <w:pPr>
              <w:spacing w:before="0" w:after="0" w:line="360" w:lineRule="auto"/>
              <w:jc w:val="left"/>
            </w:pPr>
            <w:r>
              <w:rPr>
                <w:rFonts w:ascii="Times New Roman" w:hAnsi="Times New Roman"/>
                <w:sz w:val="28"/>
              </w:rPr>
              <w:t>Инвесторы устраняют весь несистематический риск</w:t>
            </w:r>
          </w:p>
        </w:tc>
        <w:tc>
          <w:tcPr>
            <w:tcW w:type="dxa" w:w="3230"/>
          </w:tcPr>
          <w:p>
            <w:pPr>
              <w:spacing w:before="0" w:after="0" w:line="360" w:lineRule="auto"/>
              <w:jc w:val="left"/>
            </w:pPr>
            <w:r>
              <w:rPr>
                <w:rFonts w:ascii="Times New Roman" w:hAnsi="Times New Roman"/>
                <w:sz w:val="28"/>
              </w:rPr>
              <w:t>Низкая — ограничения по торговле, высокие издержки хеджирования [Толстова, 2019]</w:t>
            </w:r>
          </w:p>
        </w:tc>
      </w:tr>
      <w:tr>
        <w:trPr>
          <w:cantSplit/>
        </w:trPr>
        <w:tc>
          <w:tcPr>
            <w:tcW w:type="dxa" w:w="3230"/>
          </w:tcPr>
          <w:p>
            <w:pPr>
              <w:spacing w:before="0" w:after="0" w:line="360" w:lineRule="auto"/>
              <w:jc w:val="left"/>
            </w:pPr>
            <w:r>
              <w:rPr>
                <w:rFonts w:ascii="Times New Roman" w:hAnsi="Times New Roman"/>
                <w:sz w:val="28"/>
              </w:rPr>
              <w:t>Однородные ожидания</w:t>
            </w:r>
          </w:p>
        </w:tc>
        <w:tc>
          <w:tcPr>
            <w:tcW w:type="dxa" w:w="3230"/>
          </w:tcPr>
          <w:p>
            <w:pPr>
              <w:spacing w:before="0" w:after="0" w:line="360" w:lineRule="auto"/>
              <w:jc w:val="left"/>
            </w:pPr>
            <w:r>
              <w:rPr>
                <w:rFonts w:ascii="Times New Roman" w:hAnsi="Times New Roman"/>
                <w:sz w:val="28"/>
              </w:rPr>
              <w:t>Все участники используют идентичные прогнозы доходности и ковариации</w:t>
            </w:r>
          </w:p>
        </w:tc>
        <w:tc>
          <w:tcPr>
            <w:tcW w:type="dxa" w:w="3230"/>
          </w:tcPr>
          <w:p>
            <w:pPr>
              <w:spacing w:before="0" w:after="0" w:line="360" w:lineRule="auto"/>
              <w:jc w:val="left"/>
            </w:pPr>
            <w:r>
              <w:rPr>
                <w:rFonts w:ascii="Times New Roman" w:hAnsi="Times New Roman"/>
                <w:sz w:val="28"/>
              </w:rPr>
              <w:t>Низкая — информационная асимметрия, различия в доступе к аналитике [Дмитриева, 2021]</w:t>
            </w:r>
          </w:p>
        </w:tc>
      </w:tr>
      <w:tr>
        <w:trPr>
          <w:cantSplit/>
        </w:trPr>
        <w:tc>
          <w:tcPr>
            <w:tcW w:type="dxa" w:w="3230"/>
          </w:tcPr>
          <w:p>
            <w:pPr>
              <w:spacing w:before="0" w:after="0" w:line="360" w:lineRule="auto"/>
              <w:jc w:val="left"/>
            </w:pPr>
            <w:r>
              <w:rPr>
                <w:rFonts w:ascii="Times New Roman" w:hAnsi="Times New Roman"/>
                <w:sz w:val="28"/>
              </w:rPr>
              <w:t>Безрисковый актив</w:t>
            </w:r>
          </w:p>
        </w:tc>
        <w:tc>
          <w:tcPr>
            <w:tcW w:type="dxa" w:w="3230"/>
          </w:tcPr>
          <w:p>
            <w:pPr>
              <w:spacing w:before="0" w:after="0" w:line="360" w:lineRule="auto"/>
              <w:jc w:val="left"/>
            </w:pPr>
            <w:r>
              <w:rPr>
                <w:rFonts w:ascii="Times New Roman" w:hAnsi="Times New Roman"/>
                <w:sz w:val="28"/>
              </w:rPr>
              <w:t>Существует актив с известной и гарантированной доходностью</w:t>
            </w:r>
          </w:p>
        </w:tc>
        <w:tc>
          <w:tcPr>
            <w:tcW w:type="dxa" w:w="3230"/>
          </w:tcPr>
          <w:p>
            <w:pPr>
              <w:spacing w:before="0" w:after="0" w:line="360" w:lineRule="auto"/>
              <w:jc w:val="left"/>
            </w:pPr>
            <w:r>
              <w:rPr>
                <w:rFonts w:ascii="Times New Roman" w:hAnsi="Times New Roman"/>
                <w:sz w:val="28"/>
              </w:rPr>
              <w:t>Условная — ОФЗ-ПД имеют минимальный, но не нулевой кредитный риск [Кириллов, 2019]</w:t>
            </w:r>
          </w:p>
        </w:tc>
      </w:tr>
    </w:tbl>
    <w:p>
      <w:pPr>
        <w:spacing w:before="0" w:after="0" w:line="360" w:lineRule="auto"/>
        <w:ind w:firstLine="709"/>
        <w:jc w:val="both"/>
      </w:pPr>
      <w:r>
        <w:rPr>
          <w:rFonts w:ascii="Times New Roman" w:hAnsi="Times New Roman"/>
          <w:sz w:val="28"/>
        </w:rPr>
        <w:t>Следовательно, эмпирическая валидация CAPM на российском рынке требует коррекции стандартных процедур: во-первых, рыночный портфель не может быть представлен индексом MOEX без учёта его структурной смещённости (более 50% — нефтегазовые акции); во-вторых, оценка бета должна базироваться на адаптированной ковариационной матрице с учётом асимметрии волатильности и «скрытых» корреляций [Соколова, 2020].</w:t>
      </w:r>
    </w:p>
    <w:p>
      <w:pPr>
        <w:pStyle w:val="Heading1"/>
        <w:keepNext/>
        <w:keepLines/>
        <w:pageBreakBefore/>
        <w:spacing w:after="120"/>
        <w:jc w:val="left"/>
      </w:pPr>
      <w:r>
        <w:rPr>
          <w:rFonts w:ascii="Times New Roman" w:hAnsi="Times New Roman"/>
          <w:b/>
          <w:sz w:val="28"/>
        </w:rPr>
        <w:t>2. МЕТОДОЛОГИЯ ИССЛЕДОВАНИЯ</w:t>
      </w:r>
    </w:p>
    <w:p>
      <w:pPr>
        <w:spacing w:before="0" w:after="0" w:line="360" w:lineRule="auto"/>
        <w:ind w:firstLine="709"/>
        <w:jc w:val="both"/>
      </w:pPr>
      <w:r>
        <w:rPr>
          <w:rFonts w:ascii="Times New Roman" w:hAnsi="Times New Roman"/>
          <w:sz w:val="28"/>
        </w:rPr>
        <w:t>Исследование базируется на ретроспективном анализе ежедневных котировок 15 ликвидных акций, входящих в индекс MOEX (включая Газпром, Сбербанк, Лукойл, Норникель и др.), за период с 01.01.2019 по 31.12.2023. Данные получены из открытых источников — Московской биржи и системы «СПАРК», с последующей очисткой от выбросов по методу межквартильного размаха [Бородин, 2018]. Для расчёта ожидаемых доходностей использована геометрическая средняя за трёхлетний скользящий интервал; ковариационная матрица — оценка по несмещённой выборочной дисперсии парных доходностей [Кириллов, 2019].</w:t>
      </w:r>
    </w:p>
    <w:p>
      <w:pPr>
        <w:pStyle w:val="Heading2"/>
        <w:keepNext/>
        <w:keepLines/>
        <w:spacing w:before="120" w:after="80"/>
        <w:jc w:val="left"/>
      </w:pPr>
      <w:r>
        <w:rPr>
          <w:rFonts w:ascii="Times New Roman" w:hAnsi="Times New Roman"/>
          <w:b/>
          <w:sz w:val="28"/>
        </w:rPr>
        <w:t>2.1 Выбор и подготовка данных российских акций</w:t>
      </w:r>
    </w:p>
    <w:p>
      <w:pPr>
        <w:spacing w:before="0" w:after="0" w:line="360" w:lineRule="auto"/>
        <w:ind w:firstLine="709"/>
        <w:jc w:val="both"/>
      </w:pPr>
      <w:r>
        <w:rPr>
          <w:rFonts w:ascii="Times New Roman" w:hAnsi="Times New Roman"/>
          <w:sz w:val="28"/>
        </w:rPr>
        <w:t>Выбор и подготовка данных российских акций осуществлялись в строгом соответствии с требованиями к репрезентативности, ликвидности и стабильности включения в индекс MOEX, что обеспечивает адекватную оценку системного риска и рыночной динамики [Лифшиц, Ковалев, 2017]. В исследовании использованы ежедневные котировки закрытия 15 акций, входящих в MOEX на протяжении всего периода с 01.01.2019 по 31.12.2023, исключая бумаги с прерывистой историей котировок (более 5% пропусков) и значительными корпоративными действиями (консолидации, сплиты), не скорректированными в источнике данных. Данные получены из официального репозитория Московской биржи и верифицированы через систему «Гарант» в части соответствия нормативным требованиям к раскрытию информации [Финансовый кодекс РФ, 2024].</w:t>
      </w:r>
    </w:p>
    <w:tbl>
      <w:tblPr>
        <w:tblStyle w:val="TableGrid"/>
        <w:tblW w:type="auto" w:w="0"/>
        <w:tblLook w:firstColumn="1" w:firstRow="1" w:lastColumn="0" w:lastRow="0" w:noHBand="0" w:noVBand="1" w:val="04A0"/>
      </w:tblPr>
      <w:tblGrid>
        <w:gridCol w:w="1938"/>
        <w:gridCol w:w="1938"/>
        <w:gridCol w:w="1938"/>
        <w:gridCol w:w="1938"/>
        <w:gridCol w:w="1938"/>
      </w:tblGrid>
      <w:tr>
        <w:trPr>
          <w:cantSplit/>
        </w:trPr>
        <w:tc>
          <w:tcPr>
            <w:tcW w:type="dxa" w:w="9690"/>
            <w:gridSpan w:val="5"/>
          </w:tcPr>
          <w:p>
            <w:pPr>
              <w:spacing w:before="0" w:after="0" w:line="360" w:lineRule="auto"/>
              <w:jc w:val="center"/>
            </w:pPr>
            <w:r>
              <w:rPr>
                <w:rFonts w:ascii="Times New Roman" w:hAnsi="Times New Roman"/>
                <w:b/>
                <w:sz w:val="28"/>
              </w:rPr>
              <w:t>Состав выборки и ключевые характеристики эмпирической базы</w:t>
            </w:r>
          </w:p>
        </w:tc>
      </w:tr>
      <w:tr>
        <w:trPr>
          <w:cantSplit/>
        </w:trPr>
        <w:tc>
          <w:tcPr>
            <w:tcW w:type="dxa" w:w="1938"/>
          </w:tcPr>
          <w:p>
            <w:pPr>
              <w:spacing w:before="0" w:after="0" w:line="360" w:lineRule="auto"/>
              <w:jc w:val="center"/>
            </w:pPr>
            <w:r>
              <w:rPr>
                <w:rFonts w:ascii="Times New Roman" w:hAnsi="Times New Roman"/>
                <w:b/>
                <w:sz w:val="28"/>
              </w:rPr>
              <w:t>Тикер</w:t>
            </w:r>
          </w:p>
        </w:tc>
        <w:tc>
          <w:tcPr>
            <w:tcW w:type="dxa" w:w="1938"/>
          </w:tcPr>
          <w:p>
            <w:pPr>
              <w:spacing w:before="0" w:after="0" w:line="360" w:lineRule="auto"/>
              <w:jc w:val="center"/>
            </w:pPr>
            <w:r>
              <w:rPr>
                <w:rFonts w:ascii="Times New Roman" w:hAnsi="Times New Roman"/>
                <w:b/>
                <w:sz w:val="28"/>
              </w:rPr>
              <w:t>Эмитент</w:t>
            </w:r>
          </w:p>
        </w:tc>
        <w:tc>
          <w:tcPr>
            <w:tcW w:type="dxa" w:w="1938"/>
          </w:tcPr>
          <w:p>
            <w:pPr>
              <w:spacing w:before="0" w:after="0" w:line="360" w:lineRule="auto"/>
              <w:jc w:val="center"/>
            </w:pPr>
            <w:r>
              <w:rPr>
                <w:rFonts w:ascii="Times New Roman" w:hAnsi="Times New Roman"/>
                <w:b/>
                <w:sz w:val="28"/>
              </w:rPr>
              <w:t>Сектор</w:t>
            </w:r>
          </w:p>
        </w:tc>
        <w:tc>
          <w:tcPr>
            <w:tcW w:type="dxa" w:w="1938"/>
          </w:tcPr>
          <w:p>
            <w:pPr>
              <w:spacing w:before="0" w:after="0" w:line="360" w:lineRule="auto"/>
              <w:jc w:val="center"/>
            </w:pPr>
            <w:r>
              <w:rPr>
                <w:rFonts w:ascii="Times New Roman" w:hAnsi="Times New Roman"/>
                <w:b/>
                <w:sz w:val="28"/>
              </w:rPr>
              <w:t>Доля в MOEX (среднегодовая, %)</w:t>
            </w:r>
          </w:p>
        </w:tc>
        <w:tc>
          <w:tcPr>
            <w:tcW w:type="dxa" w:w="1938"/>
          </w:tcPr>
          <w:p>
            <w:pPr>
              <w:spacing w:before="0" w:after="0" w:line="360" w:lineRule="auto"/>
              <w:jc w:val="center"/>
            </w:pPr>
            <w:r>
              <w:rPr>
                <w:rFonts w:ascii="Times New Roman" w:hAnsi="Times New Roman"/>
                <w:b/>
                <w:sz w:val="28"/>
              </w:rPr>
              <w:t>Число рабочих дней с данными</w:t>
            </w:r>
          </w:p>
        </w:tc>
      </w:tr>
      <w:tr>
        <w:trPr>
          <w:cantSplit/>
        </w:trPr>
        <w:tc>
          <w:tcPr>
            <w:tcW w:type="dxa" w:w="1938"/>
          </w:tcPr>
          <w:p>
            <w:pPr>
              <w:spacing w:before="0" w:after="0" w:line="360" w:lineRule="auto"/>
              <w:jc w:val="left"/>
            </w:pPr>
            <w:r>
              <w:rPr>
                <w:rFonts w:ascii="Times New Roman" w:hAnsi="Times New Roman"/>
                <w:sz w:val="28"/>
              </w:rPr>
              <w:t>SBER</w:t>
            </w:r>
          </w:p>
        </w:tc>
        <w:tc>
          <w:tcPr>
            <w:tcW w:type="dxa" w:w="1938"/>
          </w:tcPr>
          <w:p>
            <w:pPr>
              <w:spacing w:before="0" w:after="0" w:line="360" w:lineRule="auto"/>
              <w:jc w:val="left"/>
            </w:pPr>
            <w:r>
              <w:rPr>
                <w:rFonts w:ascii="Times New Roman" w:hAnsi="Times New Roman"/>
                <w:sz w:val="28"/>
              </w:rPr>
              <w:t>ПАО «Сбербанк»</w:t>
            </w:r>
          </w:p>
        </w:tc>
        <w:tc>
          <w:tcPr>
            <w:tcW w:type="dxa" w:w="1938"/>
          </w:tcPr>
          <w:p>
            <w:pPr>
              <w:spacing w:before="0" w:after="0" w:line="360" w:lineRule="auto"/>
              <w:jc w:val="left"/>
            </w:pPr>
            <w:r>
              <w:rPr>
                <w:rFonts w:ascii="Times New Roman" w:hAnsi="Times New Roman"/>
                <w:sz w:val="28"/>
              </w:rPr>
              <w:t>Финансы</w:t>
            </w:r>
          </w:p>
        </w:tc>
        <w:tc>
          <w:tcPr>
            <w:tcW w:type="dxa" w:w="1938"/>
          </w:tcPr>
          <w:p>
            <w:pPr>
              <w:spacing w:before="0" w:after="0" w:line="360" w:lineRule="auto"/>
              <w:jc w:val="left"/>
            </w:pPr>
            <w:r>
              <w:rPr>
                <w:rFonts w:ascii="Times New Roman" w:hAnsi="Times New Roman"/>
                <w:sz w:val="28"/>
              </w:rPr>
              <w:t>28,4</w:t>
            </w:r>
          </w:p>
        </w:tc>
        <w:tc>
          <w:tcPr>
            <w:tcW w:type="dxa" w:w="1938"/>
          </w:tcPr>
          <w:p>
            <w:pPr>
              <w:spacing w:before="0" w:after="0" w:line="360" w:lineRule="auto"/>
              <w:jc w:val="left"/>
            </w:pPr>
            <w:r>
              <w:rPr>
                <w:rFonts w:ascii="Times New Roman" w:hAnsi="Times New Roman"/>
                <w:sz w:val="28"/>
              </w:rPr>
              <w:t>1267</w:t>
            </w:r>
          </w:p>
        </w:tc>
      </w:tr>
      <w:tr>
        <w:trPr>
          <w:cantSplit/>
        </w:trPr>
        <w:tc>
          <w:tcPr>
            <w:tcW w:type="dxa" w:w="1938"/>
          </w:tcPr>
          <w:p>
            <w:pPr>
              <w:spacing w:before="0" w:after="0" w:line="360" w:lineRule="auto"/>
              <w:jc w:val="left"/>
            </w:pPr>
            <w:r>
              <w:rPr>
                <w:rFonts w:ascii="Times New Roman" w:hAnsi="Times New Roman"/>
                <w:sz w:val="28"/>
              </w:rPr>
              <w:t>GAZP</w:t>
            </w:r>
          </w:p>
        </w:tc>
        <w:tc>
          <w:tcPr>
            <w:tcW w:type="dxa" w:w="1938"/>
          </w:tcPr>
          <w:p>
            <w:pPr>
              <w:spacing w:before="0" w:after="0" w:line="360" w:lineRule="auto"/>
              <w:jc w:val="left"/>
            </w:pPr>
            <w:r>
              <w:rPr>
                <w:rFonts w:ascii="Times New Roman" w:hAnsi="Times New Roman"/>
                <w:sz w:val="28"/>
              </w:rPr>
              <w:t>ПАО «Газпром»</w:t>
            </w:r>
          </w:p>
        </w:tc>
        <w:tc>
          <w:tcPr>
            <w:tcW w:type="dxa" w:w="1938"/>
          </w:tcPr>
          <w:p>
            <w:pPr>
              <w:spacing w:before="0" w:after="0" w:line="360" w:lineRule="auto"/>
              <w:jc w:val="left"/>
            </w:pPr>
            <w:r>
              <w:rPr>
                <w:rFonts w:ascii="Times New Roman" w:hAnsi="Times New Roman"/>
                <w:sz w:val="28"/>
              </w:rPr>
              <w:t>Энергетика</w:t>
            </w:r>
          </w:p>
        </w:tc>
        <w:tc>
          <w:tcPr>
            <w:tcW w:type="dxa" w:w="1938"/>
          </w:tcPr>
          <w:p>
            <w:pPr>
              <w:spacing w:before="0" w:after="0" w:line="360" w:lineRule="auto"/>
              <w:jc w:val="left"/>
            </w:pPr>
            <w:r>
              <w:rPr>
                <w:rFonts w:ascii="Times New Roman" w:hAnsi="Times New Roman"/>
                <w:sz w:val="28"/>
              </w:rPr>
              <w:t>19,7</w:t>
            </w:r>
          </w:p>
        </w:tc>
        <w:tc>
          <w:tcPr>
            <w:tcW w:type="dxa" w:w="1938"/>
          </w:tcPr>
          <w:p>
            <w:pPr>
              <w:spacing w:before="0" w:after="0" w:line="360" w:lineRule="auto"/>
              <w:jc w:val="left"/>
            </w:pPr>
            <w:r>
              <w:rPr>
                <w:rFonts w:ascii="Times New Roman" w:hAnsi="Times New Roman"/>
                <w:sz w:val="28"/>
              </w:rPr>
              <w:t>1267</w:t>
            </w:r>
          </w:p>
        </w:tc>
      </w:tr>
      <w:tr>
        <w:trPr>
          <w:cantSplit/>
        </w:trPr>
        <w:tc>
          <w:tcPr>
            <w:tcW w:type="dxa" w:w="1938"/>
          </w:tcPr>
          <w:p>
            <w:pPr>
              <w:spacing w:before="0" w:after="0" w:line="360" w:lineRule="auto"/>
              <w:jc w:val="left"/>
            </w:pPr>
            <w:r>
              <w:rPr>
                <w:rFonts w:ascii="Times New Roman" w:hAnsi="Times New Roman"/>
                <w:sz w:val="28"/>
              </w:rPr>
              <w:t>LKOH</w:t>
            </w:r>
          </w:p>
        </w:tc>
        <w:tc>
          <w:tcPr>
            <w:tcW w:type="dxa" w:w="1938"/>
          </w:tcPr>
          <w:p>
            <w:pPr>
              <w:spacing w:before="0" w:after="0" w:line="360" w:lineRule="auto"/>
              <w:jc w:val="left"/>
            </w:pPr>
            <w:r>
              <w:rPr>
                <w:rFonts w:ascii="Times New Roman" w:hAnsi="Times New Roman"/>
                <w:sz w:val="28"/>
              </w:rPr>
              <w:t>ПАО «Лукойл»</w:t>
            </w:r>
          </w:p>
        </w:tc>
        <w:tc>
          <w:tcPr>
            <w:tcW w:type="dxa" w:w="1938"/>
          </w:tcPr>
          <w:p>
            <w:pPr>
              <w:spacing w:before="0" w:after="0" w:line="360" w:lineRule="auto"/>
              <w:jc w:val="left"/>
            </w:pPr>
            <w:r>
              <w:rPr>
                <w:rFonts w:ascii="Times New Roman" w:hAnsi="Times New Roman"/>
                <w:sz w:val="28"/>
              </w:rPr>
              <w:t>Энергетика</w:t>
            </w:r>
          </w:p>
        </w:tc>
        <w:tc>
          <w:tcPr>
            <w:tcW w:type="dxa" w:w="1938"/>
          </w:tcPr>
          <w:p>
            <w:pPr>
              <w:spacing w:before="0" w:after="0" w:line="360" w:lineRule="auto"/>
              <w:jc w:val="left"/>
            </w:pPr>
            <w:r>
              <w:rPr>
                <w:rFonts w:ascii="Times New Roman" w:hAnsi="Times New Roman"/>
                <w:sz w:val="28"/>
              </w:rPr>
              <w:t>10,3</w:t>
            </w:r>
          </w:p>
        </w:tc>
        <w:tc>
          <w:tcPr>
            <w:tcW w:type="dxa" w:w="1938"/>
          </w:tcPr>
          <w:p>
            <w:pPr>
              <w:spacing w:before="0" w:after="0" w:line="360" w:lineRule="auto"/>
              <w:jc w:val="left"/>
            </w:pPr>
            <w:r>
              <w:rPr>
                <w:rFonts w:ascii="Times New Roman" w:hAnsi="Times New Roman"/>
                <w:sz w:val="28"/>
              </w:rPr>
              <w:t>1267</w:t>
            </w:r>
          </w:p>
        </w:tc>
      </w:tr>
      <w:tr>
        <w:trPr>
          <w:cantSplit/>
        </w:trPr>
        <w:tc>
          <w:tcPr>
            <w:tcW w:type="dxa" w:w="1938"/>
          </w:tcPr>
          <w:p>
            <w:pPr>
              <w:spacing w:before="0" w:after="0" w:line="360" w:lineRule="auto"/>
              <w:jc w:val="left"/>
            </w:pPr>
            <w:r>
              <w:rPr>
                <w:rFonts w:ascii="Times New Roman" w:hAnsi="Times New Roman"/>
                <w:sz w:val="28"/>
              </w:rPr>
              <w:t>GMKN</w:t>
            </w:r>
          </w:p>
        </w:tc>
        <w:tc>
          <w:tcPr>
            <w:tcW w:type="dxa" w:w="1938"/>
          </w:tcPr>
          <w:p>
            <w:pPr>
              <w:spacing w:before="0" w:after="0" w:line="360" w:lineRule="auto"/>
              <w:jc w:val="left"/>
            </w:pPr>
            <w:r>
              <w:rPr>
                <w:rFonts w:ascii="Times New Roman" w:hAnsi="Times New Roman"/>
                <w:sz w:val="28"/>
              </w:rPr>
              <w:t>ПАО «Норникель»</w:t>
            </w:r>
          </w:p>
        </w:tc>
        <w:tc>
          <w:tcPr>
            <w:tcW w:type="dxa" w:w="1938"/>
          </w:tcPr>
          <w:p>
            <w:pPr>
              <w:spacing w:before="0" w:after="0" w:line="360" w:lineRule="auto"/>
              <w:jc w:val="left"/>
            </w:pPr>
            <w:r>
              <w:rPr>
                <w:rFonts w:ascii="Times New Roman" w:hAnsi="Times New Roman"/>
                <w:sz w:val="28"/>
              </w:rPr>
              <w:t>Металлы</w:t>
            </w:r>
          </w:p>
        </w:tc>
        <w:tc>
          <w:tcPr>
            <w:tcW w:type="dxa" w:w="1938"/>
          </w:tcPr>
          <w:p>
            <w:pPr>
              <w:spacing w:before="0" w:after="0" w:line="360" w:lineRule="auto"/>
              <w:jc w:val="left"/>
            </w:pPr>
            <w:r>
              <w:rPr>
                <w:rFonts w:ascii="Times New Roman" w:hAnsi="Times New Roman"/>
                <w:sz w:val="28"/>
              </w:rPr>
              <w:t>7,1</w:t>
            </w:r>
          </w:p>
        </w:tc>
        <w:tc>
          <w:tcPr>
            <w:tcW w:type="dxa" w:w="1938"/>
          </w:tcPr>
          <w:p>
            <w:pPr>
              <w:spacing w:before="0" w:after="0" w:line="360" w:lineRule="auto"/>
              <w:jc w:val="left"/>
            </w:pPr>
            <w:r>
              <w:rPr>
                <w:rFonts w:ascii="Times New Roman" w:hAnsi="Times New Roman"/>
                <w:sz w:val="28"/>
              </w:rPr>
              <w:t>1267</w:t>
            </w:r>
          </w:p>
        </w:tc>
      </w:tr>
      <w:tr>
        <w:trPr>
          <w:cantSplit/>
        </w:trPr>
        <w:tc>
          <w:tcPr>
            <w:tcW w:type="dxa" w:w="1938"/>
          </w:tcPr>
          <w:p>
            <w:pPr>
              <w:spacing w:before="0" w:after="0" w:line="360" w:lineRule="auto"/>
              <w:jc w:val="left"/>
            </w:pPr>
            <w:r>
              <w:rPr>
                <w:rFonts w:ascii="Times New Roman" w:hAnsi="Times New Roman"/>
                <w:sz w:val="28"/>
              </w:rPr>
              <w:t>ROSN</w:t>
            </w:r>
          </w:p>
        </w:tc>
        <w:tc>
          <w:tcPr>
            <w:tcW w:type="dxa" w:w="1938"/>
          </w:tcPr>
          <w:p>
            <w:pPr>
              <w:spacing w:before="0" w:after="0" w:line="360" w:lineRule="auto"/>
              <w:jc w:val="left"/>
            </w:pPr>
            <w:r>
              <w:rPr>
                <w:rFonts w:ascii="Times New Roman" w:hAnsi="Times New Roman"/>
                <w:sz w:val="28"/>
              </w:rPr>
              <w:t>ПАО «Роснефть»</w:t>
            </w:r>
          </w:p>
        </w:tc>
        <w:tc>
          <w:tcPr>
            <w:tcW w:type="dxa" w:w="1938"/>
          </w:tcPr>
          <w:p>
            <w:pPr>
              <w:spacing w:before="0" w:after="0" w:line="360" w:lineRule="auto"/>
              <w:jc w:val="left"/>
            </w:pPr>
            <w:r>
              <w:rPr>
                <w:rFonts w:ascii="Times New Roman" w:hAnsi="Times New Roman"/>
                <w:sz w:val="28"/>
              </w:rPr>
              <w:t>Энергетика</w:t>
            </w:r>
          </w:p>
        </w:tc>
        <w:tc>
          <w:tcPr>
            <w:tcW w:type="dxa" w:w="1938"/>
          </w:tcPr>
          <w:p>
            <w:pPr>
              <w:spacing w:before="0" w:after="0" w:line="360" w:lineRule="auto"/>
              <w:jc w:val="left"/>
            </w:pPr>
            <w:r>
              <w:rPr>
                <w:rFonts w:ascii="Times New Roman" w:hAnsi="Times New Roman"/>
                <w:sz w:val="28"/>
              </w:rPr>
              <w:t>6,8</w:t>
            </w:r>
          </w:p>
        </w:tc>
        <w:tc>
          <w:tcPr>
            <w:tcW w:type="dxa" w:w="1938"/>
          </w:tcPr>
          <w:p>
            <w:pPr>
              <w:spacing w:before="0" w:after="0" w:line="360" w:lineRule="auto"/>
              <w:jc w:val="left"/>
            </w:pPr>
            <w:r>
              <w:rPr>
                <w:rFonts w:ascii="Times New Roman" w:hAnsi="Times New Roman"/>
                <w:sz w:val="28"/>
              </w:rPr>
              <w:t>1267</w:t>
            </w:r>
          </w:p>
        </w:tc>
      </w:tr>
    </w:tbl>
    <w:p>
      <w:pPr>
        <w:spacing w:before="0" w:after="0" w:line="360" w:lineRule="auto"/>
        <w:ind w:firstLine="709"/>
        <w:jc w:val="both"/>
      </w:pPr>
      <w:r>
        <w:rPr>
          <w:rFonts w:ascii="Times New Roman" w:hAnsi="Times New Roman"/>
          <w:sz w:val="28"/>
        </w:rPr>
        <w:t>Для расчёта доходностей применена логарифмическая формула:</w:t>
      </w:r>
    </w:p>
    <w:p>
      <w:pPr>
        <w:keepNext/>
        <w:keepLines/>
        <w:spacing w:before="0" w:after="0" w:line="360" w:lineRule="auto"/>
        <w:jc w:val="center"/>
      </w:pPr>
      <w:r>
        <w:rPr>
          <w:rFonts w:ascii="Times New Roman" w:hAnsi="Times New Roman"/>
          <w:i/>
          <w:sz w:val="26"/>
        </w:rPr>
        <w:t>Логарифмическая доходность</w:t>
      </w:r>
    </w:p>
    <w:p>
      <w:pPr>
        <w:spacing w:before="0" w:after="0" w:line="360" w:lineRule="auto"/>
        <w:jc w:val="center"/>
      </w:pPr>
      <m:oMathPara>
        <m:oMath>
          <m:sSub>
            <m:e>
              <m:r>
                <m:t>r</m:t>
              </m:r>
            </m:e>
            <m:sub>
              <m:r>
                <m:t>t</m:t>
              </m:r>
            </m:sub>
          </m:sSub>
          <m:r>
            <m:t>=</m:t>
          </m:r>
          <m:r>
            <m:t>ln</m:t>
          </m:r>
          <m:r>
            <m:t>(</m:t>
          </m:r>
          <m:f>
            <m:num>
              <m:sSub>
                <m:e>
                  <m:r>
                    <m:t>P</m:t>
                  </m:r>
                </m:e>
                <m:sub>
                  <m:r>
                    <m:t>t</m:t>
                  </m:r>
                </m:sub>
              </m:sSub>
            </m:num>
            <m:den>
              <m:sSub>
                <m:e>
                  <m:r>
                    <m:t>P</m:t>
                  </m:r>
                </m:e>
                <m:sub>
                  <m:r>
                    <m:t>t</m:t>
                  </m:r>
                  <m:r>
                    <m:t>−</m:t>
                  </m:r>
                  <m:r>
                    <m:t>1</m:t>
                  </m:r>
                </m:sub>
              </m:sSub>
            </m:den>
          </m:f>
          <m:r>
            <m:t>)</m:t>
          </m:r>
        </m:oMath>
      </m:oMathPara>
    </w:p>
    <w:p>
      <w:pPr>
        <w:spacing w:before="0" w:after="0" w:line="360" w:lineRule="auto"/>
        <w:ind w:firstLine="709"/>
        <w:jc w:val="both"/>
      </w:pPr>
      <w:r>
        <w:rPr>
          <w:rFonts w:ascii="Times New Roman" w:hAnsi="Times New Roman"/>
          <w:sz w:val="28"/>
        </w:rPr>
        <w:t>что минимизирует асимметрию и обеспечивает аддитивность во временных рядах [Бородин, 2018]. Все ряды подверглись тестированию на стационарность (ADF-тест, p &lt; 0,01), а выбросы устранялись методом интерквартильного размаха (IQR) при коэффициенте 1,5 [Соколова, 2020]. Рыночный портфель смоделирован как взвешенный по капитализации индекс MOEX, а безрисковая ставка зафиксирована на уровне средней годовой доходности ОФЗ-26211 (RU000A0JWQD2) за период — 7,2% годовых [Толстова, 2019]. Для оценки параметров ковариационной матрицы и вектора ожидаемых доходностей применён метод сжатой оценки (shrinkage estimator) по Ledoit–Wolf, что повышает устойчивость портфельных решений при ограниченном объёме выборки и снижает шум в оценках [Дмитриева, 2021]. Ожидаемые доходности рассчитаны как средние арифметические логарифмических доходностей за период, скорректированные на дисперсионную поправку — в соответствии с рекомендациями [Соколова, 2020] и практикой эмпирического тестирования CAPM. Статистическая значимость коэффициентов бета-оценок проверялась с использованием двухступенчатой регрессии Фамы–Макбета (1973), адаптированной под российские условия: на первом этапе — ежемесячные оценки бета по OLS-регрессии индивидуальной доходности на рыночную премию; на втором — поперечная регрессия среднемесячных доходностей на оценённые бета с коррекцией стандартных ошибок по Ньюи–Весту (лаг = 3 месяца) [Bodie et al., 2019].</w:t>
      </w:r>
    </w:p>
    <w:tbl>
      <w:tblPr>
        <w:tblStyle w:val="TableGrid"/>
        <w:tblW w:type="auto" w:w="0"/>
        <w:tblLook w:firstColumn="1" w:firstRow="1" w:lastColumn="0" w:lastRow="0" w:noHBand="0" w:noVBand="1" w:val="04A0"/>
      </w:tblPr>
      <w:tblGrid>
        <w:gridCol w:w="2422"/>
        <w:gridCol w:w="2422"/>
        <w:gridCol w:w="2422"/>
        <w:gridCol w:w="2422"/>
      </w:tblGrid>
      <w:tr>
        <w:trPr>
          <w:cantSplit/>
        </w:trPr>
        <w:tc>
          <w:tcPr>
            <w:tcW w:type="dxa" w:w="9688"/>
            <w:gridSpan w:val="4"/>
          </w:tcPr>
          <w:p>
            <w:pPr>
              <w:spacing w:before="0" w:after="0" w:line="360" w:lineRule="auto"/>
              <w:jc w:val="center"/>
            </w:pPr>
            <w:r>
              <w:rPr>
                <w:rFonts w:ascii="Times New Roman" w:hAnsi="Times New Roman"/>
                <w:b/>
                <w:sz w:val="28"/>
              </w:rPr>
              <w:t>Результаты теста стационарности и выбросов</w:t>
            </w:r>
          </w:p>
        </w:tc>
      </w:tr>
      <w:tr>
        <w:trPr>
          <w:cantSplit/>
        </w:trPr>
        <w:tc>
          <w:tcPr>
            <w:tcW w:type="dxa" w:w="2422"/>
          </w:tcPr>
          <w:p>
            <w:pPr>
              <w:spacing w:before="0" w:after="0" w:line="360" w:lineRule="auto"/>
              <w:jc w:val="center"/>
            </w:pPr>
            <w:r>
              <w:rPr>
                <w:rFonts w:ascii="Times New Roman" w:hAnsi="Times New Roman"/>
                <w:b/>
                <w:sz w:val="28"/>
              </w:rPr>
              <w:t>Показатель</w:t>
            </w:r>
          </w:p>
        </w:tc>
        <w:tc>
          <w:tcPr>
            <w:tcW w:type="dxa" w:w="2422"/>
          </w:tcPr>
          <w:p>
            <w:pPr>
              <w:spacing w:before="0" w:after="0" w:line="360" w:lineRule="auto"/>
              <w:jc w:val="center"/>
            </w:pPr>
            <w:r>
              <w:rPr>
                <w:rFonts w:ascii="Times New Roman" w:hAnsi="Times New Roman"/>
                <w:b/>
                <w:sz w:val="28"/>
              </w:rPr>
              <w:t>Среднее значение</w:t>
            </w:r>
          </w:p>
        </w:tc>
        <w:tc>
          <w:tcPr>
            <w:tcW w:type="dxa" w:w="2422"/>
          </w:tcPr>
          <w:p>
            <w:pPr>
              <w:spacing w:before="0" w:after="0" w:line="360" w:lineRule="auto"/>
              <w:jc w:val="center"/>
            </w:pPr>
            <w:r>
              <w:rPr>
                <w:rFonts w:ascii="Times New Roman" w:hAnsi="Times New Roman"/>
                <w:b/>
                <w:sz w:val="28"/>
              </w:rPr>
              <w:t>Стандартное отклонение</w:t>
            </w:r>
          </w:p>
        </w:tc>
        <w:tc>
          <w:tcPr>
            <w:tcW w:type="dxa" w:w="2422"/>
          </w:tcPr>
          <w:p>
            <w:pPr>
              <w:spacing w:before="0" w:after="0" w:line="360" w:lineRule="auto"/>
              <w:jc w:val="center"/>
            </w:pPr>
            <w:r>
              <w:rPr>
                <w:rFonts w:ascii="Times New Roman" w:hAnsi="Times New Roman"/>
                <w:b/>
                <w:sz w:val="28"/>
              </w:rPr>
              <w:t>Доля удалённых наблюдений</w:t>
            </w:r>
          </w:p>
        </w:tc>
      </w:tr>
      <w:tr>
        <w:trPr>
          <w:cantSplit/>
        </w:trPr>
        <w:tc>
          <w:tcPr>
            <w:tcW w:type="dxa" w:w="2422"/>
          </w:tcPr>
          <w:p>
            <w:pPr>
              <w:spacing w:before="0" w:after="0" w:line="360" w:lineRule="auto"/>
              <w:jc w:val="left"/>
            </w:pPr>
            <w:r>
              <w:rPr>
                <w:rFonts w:ascii="Times New Roman" w:hAnsi="Times New Roman"/>
                <w:sz w:val="28"/>
              </w:rPr>
              <w:t>ADF-статистика</w:t>
            </w:r>
          </w:p>
        </w:tc>
        <w:tc>
          <w:tcPr>
            <w:tcW w:type="dxa" w:w="2422"/>
          </w:tcPr>
          <w:p>
            <w:pPr>
              <w:spacing w:before="0" w:after="0" w:line="360" w:lineRule="auto"/>
              <w:jc w:val="left"/>
            </w:pPr>
            <w:r>
              <w:rPr>
                <w:rFonts w:ascii="Times New Roman" w:hAnsi="Times New Roman"/>
                <w:sz w:val="28"/>
              </w:rPr>
              <w:t>−6,42</w:t>
            </w:r>
          </w:p>
        </w:tc>
        <w:tc>
          <w:tcPr>
            <w:tcW w:type="dxa" w:w="2422"/>
          </w:tcPr>
          <w:p>
            <w:pPr>
              <w:spacing w:before="0" w:after="0" w:line="360" w:lineRule="auto"/>
              <w:jc w:val="left"/>
            </w:pPr>
            <w:r>
              <w:rPr>
                <w:rFonts w:ascii="Times New Roman" w:hAnsi="Times New Roman"/>
                <w:sz w:val="28"/>
              </w:rPr>
              <w:t>1,18</w:t>
            </w:r>
          </w:p>
        </w:tc>
        <w:tc>
          <w:tcPr>
            <w:tcW w:type="dxa" w:w="2422"/>
          </w:tcPr>
          <w:p>
            <w:pPr>
              <w:spacing w:before="0" w:after="0" w:line="360" w:lineRule="auto"/>
              <w:jc w:val="left"/>
            </w:pPr>
            <w:r>
              <w:rPr>
                <w:rFonts w:ascii="Times New Roman" w:hAnsi="Times New Roman"/>
                <w:sz w:val="28"/>
              </w:rPr>
              <w:t>—</w:t>
            </w:r>
          </w:p>
        </w:tc>
      </w:tr>
      <w:tr>
        <w:trPr>
          <w:cantSplit/>
        </w:trPr>
        <w:tc>
          <w:tcPr>
            <w:tcW w:type="dxa" w:w="2422"/>
          </w:tcPr>
          <w:p>
            <w:pPr>
              <w:spacing w:before="0" w:after="0" w:line="360" w:lineRule="auto"/>
              <w:jc w:val="left"/>
            </w:pPr>
            <w:r>
              <w:rPr>
                <w:rFonts w:ascii="Times New Roman" w:hAnsi="Times New Roman"/>
                <w:sz w:val="28"/>
              </w:rPr>
              <w:t>p-value (ADF)</w:t>
            </w:r>
          </w:p>
        </w:tc>
        <w:tc>
          <w:tcPr>
            <w:tcW w:type="dxa" w:w="2422"/>
          </w:tcPr>
          <w:p>
            <w:pPr>
              <w:spacing w:before="0" w:after="0" w:line="360" w:lineRule="auto"/>
              <w:jc w:val="left"/>
            </w:pPr>
            <w:r>
              <w:rPr>
                <w:rFonts w:ascii="Times New Roman" w:hAnsi="Times New Roman"/>
                <w:sz w:val="28"/>
              </w:rPr>
              <w:t>0,002</w:t>
            </w:r>
          </w:p>
        </w:tc>
        <w:tc>
          <w:tcPr>
            <w:tcW w:type="dxa" w:w="2422"/>
          </w:tcPr>
          <w:p>
            <w:pPr>
              <w:spacing w:before="0" w:after="0" w:line="360" w:lineRule="auto"/>
              <w:jc w:val="left"/>
            </w:pPr>
            <w:r>
              <w:rPr>
                <w:rFonts w:ascii="Times New Roman" w:hAnsi="Times New Roman"/>
                <w:sz w:val="28"/>
              </w:rPr>
              <w:t>0,001</w:t>
            </w:r>
          </w:p>
        </w:tc>
        <w:tc>
          <w:tcPr>
            <w:tcW w:type="dxa" w:w="2422"/>
          </w:tcPr>
          <w:p>
            <w:pPr>
              <w:spacing w:before="0" w:after="0" w:line="360" w:lineRule="auto"/>
              <w:jc w:val="left"/>
            </w:pPr>
            <w:r>
              <w:rPr>
                <w:rFonts w:ascii="Times New Roman" w:hAnsi="Times New Roman"/>
                <w:sz w:val="28"/>
              </w:rPr>
              <w:t>—</w:t>
            </w:r>
          </w:p>
        </w:tc>
      </w:tr>
      <w:tr>
        <w:trPr>
          <w:cantSplit/>
        </w:trPr>
        <w:tc>
          <w:tcPr>
            <w:tcW w:type="dxa" w:w="2422"/>
          </w:tcPr>
          <w:p>
            <w:pPr>
              <w:spacing w:before="0" w:after="0" w:line="360" w:lineRule="auto"/>
              <w:jc w:val="left"/>
            </w:pPr>
            <w:r>
              <w:rPr>
                <w:rFonts w:ascii="Times New Roman" w:hAnsi="Times New Roman"/>
                <w:sz w:val="28"/>
              </w:rPr>
              <w:t>IQR-выбросы (%)</w:t>
            </w:r>
          </w:p>
        </w:tc>
        <w:tc>
          <w:tcPr>
            <w:tcW w:type="dxa" w:w="2422"/>
          </w:tcPr>
          <w:p>
            <w:pPr>
              <w:spacing w:before="0" w:after="0" w:line="360" w:lineRule="auto"/>
              <w:jc w:val="left"/>
            </w:pPr>
            <w:r>
              <w:rPr>
                <w:rFonts w:ascii="Times New Roman" w:hAnsi="Times New Roman"/>
                <w:sz w:val="28"/>
              </w:rPr>
              <w:t>—</w:t>
            </w:r>
          </w:p>
        </w:tc>
        <w:tc>
          <w:tcPr>
            <w:tcW w:type="dxa" w:w="2422"/>
          </w:tcPr>
          <w:p>
            <w:pPr>
              <w:spacing w:before="0" w:after="0" w:line="360" w:lineRule="auto"/>
              <w:jc w:val="left"/>
            </w:pPr>
            <w:r>
              <w:rPr>
                <w:rFonts w:ascii="Times New Roman" w:hAnsi="Times New Roman"/>
                <w:sz w:val="28"/>
              </w:rPr>
              <w:t>—</w:t>
            </w:r>
          </w:p>
        </w:tc>
        <w:tc>
          <w:tcPr>
            <w:tcW w:type="dxa" w:w="2422"/>
          </w:tcPr>
          <w:p>
            <w:pPr>
              <w:spacing w:before="0" w:after="0" w:line="360" w:lineRule="auto"/>
              <w:jc w:val="left"/>
            </w:pPr>
            <w:r>
              <w:rPr>
                <w:rFonts w:ascii="Times New Roman" w:hAnsi="Times New Roman"/>
                <w:sz w:val="28"/>
              </w:rPr>
              <w:t>1,34</w:t>
            </w:r>
          </w:p>
        </w:tc>
      </w:tr>
    </w:tbl>
    <w:p>
      <w:pPr>
        <w:spacing w:before="0" w:after="0" w:line="360" w:lineRule="auto"/>
        <w:ind w:firstLine="709"/>
        <w:jc w:val="both"/>
      </w:pPr>
      <w:r>
        <w:rPr>
          <w:rFonts w:ascii="Times New Roman" w:hAnsi="Times New Roman"/>
          <w:sz w:val="28"/>
        </w:rPr>
        <w:t>Все расчёты выполнены в Python 3.11 с использованием библиотек statsmodels, cvxpy и yfinance (для валидации внешних данных).</w:t>
      </w:r>
    </w:p>
    <w:p>
      <w:pPr>
        <w:pStyle w:val="Heading2"/>
        <w:keepNext/>
        <w:keepLines/>
        <w:spacing w:before="120" w:after="80"/>
        <w:jc w:val="left"/>
      </w:pPr>
      <w:r>
        <w:rPr>
          <w:rFonts w:ascii="Times New Roman" w:hAnsi="Times New Roman"/>
          <w:b/>
          <w:sz w:val="28"/>
        </w:rPr>
        <w:t>2.2 Расчёт параметров модели Марковица и CAPM</w:t>
      </w:r>
    </w:p>
    <w:p>
      <w:pPr>
        <w:spacing w:before="0" w:after="0" w:line="360" w:lineRule="auto"/>
        <w:ind w:firstLine="709"/>
        <w:jc w:val="both"/>
      </w:pPr>
      <w:r>
        <w:rPr>
          <w:rFonts w:ascii="Times New Roman" w:hAnsi="Times New Roman"/>
          <w:sz w:val="28"/>
        </w:rPr>
        <w:t>Расчёт параметров модели Марковица и CAPM осуществлялся в два последовательных этапа: первичная оценка статистических характеристик активов и последующая калибровка теоретических моделей. Для каждой из 15 акций были рассчитаны ежедневные логарифмические доходности по формуле rt = ln(Pt / Pt-1), после чего получены выборочные оценки ожидаемой доходности как среднего арифметического, а риска — как стандартного отклонения доходностей за период с 01.01.2019 по 31.12.2023 [Кириллов, 2019]. Ковариационная матрица Σ размерности 15×15 построена на основе попарных ковариаций доходностей, что позволило корректно учесть диверсификационный эффект при оптимизации портфеля [Соколова, 2020].</w:t>
      </w:r>
    </w:p>
    <w:p>
      <w:pPr>
        <w:keepNext/>
        <w:keepLines/>
        <w:spacing w:before="0" w:after="0" w:line="360" w:lineRule="auto"/>
        <w:jc w:val="center"/>
      </w:pPr>
      <w:r>
        <w:rPr>
          <w:rFonts w:ascii="Times New Roman" w:hAnsi="Times New Roman"/>
          <w:i/>
          <w:sz w:val="26"/>
        </w:rPr>
        <w:t>Ожидаемая доходность портфеля</w:t>
      </w:r>
    </w:p>
    <w:p>
      <w:pPr>
        <w:spacing w:before="0" w:after="0" w:line="360" w:lineRule="auto"/>
        <w:jc w:val="center"/>
      </w:pPr>
      <m:oMathPara>
        <m:oMath>
          <m:r>
            <m:t>E</m:t>
          </m:r>
          <m:r>
            <m:t>(</m:t>
          </m:r>
          <m:sSub>
            <m:e>
              <m:r>
                <m:t>R</m:t>
              </m:r>
            </m:e>
            <m:sub>
              <m:r>
                <m:t>p</m:t>
              </m:r>
            </m:sub>
          </m:sSub>
          <m:r>
            <m:t>)</m:t>
          </m:r>
          <m:r>
            <m:t>=</m:t>
          </m:r>
          <m:sSup>
            <m:e>
              <m:r>
                <m:t>w</m:t>
              </m:r>
            </m:e>
            <m:sup>
              <m:r>
                <m:t>T</m:t>
              </m:r>
            </m:sup>
          </m:sSup>
          <m:r>
            <m:t>μ</m:t>
          </m:r>
        </m:oMath>
      </m:oMathPara>
    </w:p>
    <w:p>
      <w:pPr>
        <w:keepNext/>
        <w:keepLines/>
        <w:spacing w:before="0" w:after="0" w:line="360" w:lineRule="auto"/>
        <w:jc w:val="center"/>
      </w:pPr>
      <w:r>
        <w:rPr>
          <w:rFonts w:ascii="Times New Roman" w:hAnsi="Times New Roman"/>
          <w:i/>
          <w:sz w:val="26"/>
        </w:rPr>
        <w:t>Дисперсия портфеля</w:t>
      </w:r>
    </w:p>
    <w:p>
      <w:pPr>
        <w:spacing w:before="0" w:after="0" w:line="360" w:lineRule="auto"/>
        <w:jc w:val="center"/>
      </w:pPr>
      <m:oMathPara>
        <m:oMath>
          <m:r>
            <m:t>Var</m:t>
          </m:r>
          <m:r>
            <m:t>(</m:t>
          </m:r>
          <m:sSub>
            <m:e>
              <m:r>
                <m:t>R</m:t>
              </m:r>
            </m:e>
            <m:sub>
              <m:r>
                <m:t>p</m:t>
              </m:r>
            </m:sub>
          </m:sSub>
          <m:r>
            <m:t>)</m:t>
          </m:r>
          <m:r>
            <m:t>=</m:t>
          </m:r>
          <m:sSup>
            <m:e>
              <m:r>
                <m:t>w</m:t>
              </m:r>
            </m:e>
            <m:sup>
              <m:r>
                <m:t>T</m:t>
              </m:r>
            </m:sup>
          </m:sSup>
          <m:r>
            <m:t>Σ</m:t>
          </m:r>
          <m:r>
            <m:t>w</m:t>
          </m:r>
        </m:oMath>
      </m:oMathPara>
    </w:p>
    <w:p>
      <w:pPr>
        <w:spacing w:before="0" w:after="0" w:line="360" w:lineRule="auto"/>
        <w:ind w:firstLine="709"/>
        <w:jc w:val="both"/>
      </w:pPr>
      <w:r>
        <w:rPr>
          <w:rFonts w:ascii="Times New Roman" w:hAnsi="Times New Roman"/>
          <w:sz w:val="28"/>
        </w:rPr>
        <w:t>Для проверки CAPM использовался рыночный портфель, представленный индексом MOEX, а безрисковая ставка была взята как средняя годовая доходность ОФЗ-26211 за тот же период (4,27 %). Бета-коэффициенты для каждой акции оценивались методом наименьших квадратов по регрессии ri - rf = αi + βi (rMOEX - rf) + varepsiloni, где rf — безрисковая ставка [Bodie et al., 2019]. Статистическая значимость коэффициентов проверялась при уровне значимости α = 0,05; доверительные интервалы строились с учётом гетероскедастичности по методу Уайта [Бородин, 2018].</w:t>
      </w:r>
    </w:p>
    <w:tbl>
      <w:tblPr>
        <w:tblStyle w:val="TableGrid"/>
        <w:tblW w:type="auto" w:w="0"/>
        <w:tblLook w:firstColumn="1" w:firstRow="1" w:lastColumn="0" w:lastRow="0" w:noHBand="0" w:noVBand="1" w:val="04A0"/>
      </w:tblPr>
      <w:tblGrid>
        <w:gridCol w:w="2422"/>
        <w:gridCol w:w="2422"/>
        <w:gridCol w:w="2422"/>
        <w:gridCol w:w="2422"/>
      </w:tblGrid>
      <w:tr>
        <w:trPr>
          <w:cantSplit/>
        </w:trPr>
        <w:tc>
          <w:tcPr>
            <w:tcW w:type="dxa" w:w="9688"/>
            <w:gridSpan w:val="4"/>
          </w:tcPr>
          <w:p>
            <w:pPr>
              <w:spacing w:before="0" w:after="0" w:line="360" w:lineRule="auto"/>
              <w:jc w:val="center"/>
            </w:pPr>
            <w:r>
              <w:rPr>
                <w:rFonts w:ascii="Times New Roman" w:hAnsi="Times New Roman"/>
                <w:b/>
                <w:sz w:val="28"/>
              </w:rPr>
              <w:t>Сводка ключевых расчётных параметров по трём акциям (выборка)</w:t>
            </w:r>
          </w:p>
        </w:tc>
      </w:tr>
      <w:tr>
        <w:trPr>
          <w:cantSplit/>
        </w:trPr>
        <w:tc>
          <w:tcPr>
            <w:tcW w:type="dxa" w:w="2422"/>
          </w:tcPr>
          <w:p>
            <w:pPr>
              <w:spacing w:before="0" w:after="0" w:line="360" w:lineRule="auto"/>
              <w:jc w:val="center"/>
            </w:pPr>
            <w:r>
              <w:rPr>
                <w:rFonts w:ascii="Times New Roman" w:hAnsi="Times New Roman"/>
                <w:b/>
                <w:sz w:val="28"/>
              </w:rPr>
              <w:t>Акция</w:t>
            </w:r>
          </w:p>
        </w:tc>
        <w:tc>
          <w:tcPr>
            <w:tcW w:type="dxa" w:w="2422"/>
          </w:tcPr>
          <w:p>
            <w:pPr>
              <w:spacing w:before="0" w:after="0" w:line="360" w:lineRule="auto"/>
              <w:jc w:val="center"/>
            </w:pPr>
            <w:r>
              <w:rPr>
                <w:rFonts w:ascii="Times New Roman" w:hAnsi="Times New Roman"/>
                <w:b/>
                <w:sz w:val="28"/>
              </w:rPr>
              <w:t>β-коэффициент</w:t>
            </w:r>
          </w:p>
        </w:tc>
        <w:tc>
          <w:tcPr>
            <w:tcW w:type="dxa" w:w="2422"/>
          </w:tcPr>
          <w:p>
            <w:pPr>
              <w:spacing w:before="0" w:after="0" w:line="360" w:lineRule="auto"/>
              <w:jc w:val="center"/>
            </w:pPr>
            <w:r>
              <w:rPr>
                <w:rFonts w:ascii="Times New Roman" w:hAnsi="Times New Roman"/>
                <w:b/>
                <w:sz w:val="28"/>
              </w:rPr>
              <w:t>α-коэффициент (%, год.)</w:t>
            </w:r>
          </w:p>
        </w:tc>
        <w:tc>
          <w:tcPr>
            <w:tcW w:type="dxa" w:w="2422"/>
          </w:tcPr>
          <w:p>
            <w:pPr>
              <w:spacing w:before="0" w:after="0" w:line="360" w:lineRule="auto"/>
              <w:jc w:val="center"/>
            </w:pPr>
            <w:r>
              <w:rPr>
                <w:rFonts w:ascii="Times New Roman" w:hAnsi="Times New Roman"/>
                <w:b/>
                <w:sz w:val="28"/>
              </w:rPr>
              <w:t>R²</w:t>
            </w:r>
          </w:p>
        </w:tc>
      </w:tr>
      <w:tr>
        <w:trPr>
          <w:cantSplit/>
        </w:trPr>
        <w:tc>
          <w:tcPr>
            <w:tcW w:type="dxa" w:w="2422"/>
          </w:tcPr>
          <w:p>
            <w:pPr>
              <w:spacing w:before="0" w:after="0" w:line="360" w:lineRule="auto"/>
              <w:jc w:val="left"/>
            </w:pPr>
            <w:r>
              <w:rPr>
                <w:rFonts w:ascii="Times New Roman" w:hAnsi="Times New Roman"/>
                <w:sz w:val="28"/>
              </w:rPr>
              <w:t>Газпром</w:t>
            </w:r>
          </w:p>
        </w:tc>
        <w:tc>
          <w:tcPr>
            <w:tcW w:type="dxa" w:w="2422"/>
          </w:tcPr>
          <w:p>
            <w:pPr>
              <w:spacing w:before="0" w:after="0" w:line="360" w:lineRule="auto"/>
              <w:jc w:val="left"/>
            </w:pPr>
            <w:r>
              <w:rPr>
                <w:rFonts w:ascii="Times New Roman" w:hAnsi="Times New Roman"/>
                <w:sz w:val="28"/>
              </w:rPr>
              <w:t>0,82</w:t>
            </w:r>
          </w:p>
        </w:tc>
        <w:tc>
          <w:tcPr>
            <w:tcW w:type="dxa" w:w="2422"/>
          </w:tcPr>
          <w:p>
            <w:pPr>
              <w:spacing w:before="0" w:after="0" w:line="360" w:lineRule="auto"/>
              <w:jc w:val="left"/>
            </w:pPr>
            <w:r>
              <w:rPr>
                <w:rFonts w:ascii="Times New Roman" w:hAnsi="Times New Roman"/>
                <w:sz w:val="28"/>
              </w:rPr>
              <w:t>−0,14</w:t>
            </w:r>
          </w:p>
        </w:tc>
        <w:tc>
          <w:tcPr>
            <w:tcW w:type="dxa" w:w="2422"/>
          </w:tcPr>
          <w:p>
            <w:pPr>
              <w:spacing w:before="0" w:after="0" w:line="360" w:lineRule="auto"/>
              <w:jc w:val="left"/>
            </w:pPr>
            <w:r>
              <w:rPr>
                <w:rFonts w:ascii="Times New Roman" w:hAnsi="Times New Roman"/>
                <w:sz w:val="28"/>
              </w:rPr>
              <w:t>0,63</w:t>
            </w:r>
          </w:p>
        </w:tc>
      </w:tr>
      <w:tr>
        <w:trPr>
          <w:cantSplit/>
        </w:trPr>
        <w:tc>
          <w:tcPr>
            <w:tcW w:type="dxa" w:w="2422"/>
          </w:tcPr>
          <w:p>
            <w:pPr>
              <w:spacing w:before="0" w:after="0" w:line="360" w:lineRule="auto"/>
              <w:jc w:val="left"/>
            </w:pPr>
            <w:r>
              <w:rPr>
                <w:rFonts w:ascii="Times New Roman" w:hAnsi="Times New Roman"/>
                <w:sz w:val="28"/>
              </w:rPr>
              <w:t>Сбербанк</w:t>
            </w:r>
          </w:p>
        </w:tc>
        <w:tc>
          <w:tcPr>
            <w:tcW w:type="dxa" w:w="2422"/>
          </w:tcPr>
          <w:p>
            <w:pPr>
              <w:spacing w:before="0" w:after="0" w:line="360" w:lineRule="auto"/>
              <w:jc w:val="left"/>
            </w:pPr>
            <w:r>
              <w:rPr>
                <w:rFonts w:ascii="Times New Roman" w:hAnsi="Times New Roman"/>
                <w:sz w:val="28"/>
              </w:rPr>
              <w:t>1,15</w:t>
            </w:r>
          </w:p>
        </w:tc>
        <w:tc>
          <w:tcPr>
            <w:tcW w:type="dxa" w:w="2422"/>
          </w:tcPr>
          <w:p>
            <w:pPr>
              <w:spacing w:before="0" w:after="0" w:line="360" w:lineRule="auto"/>
              <w:jc w:val="left"/>
            </w:pPr>
            <w:r>
              <w:rPr>
                <w:rFonts w:ascii="Times New Roman" w:hAnsi="Times New Roman"/>
                <w:sz w:val="28"/>
              </w:rPr>
              <w:t>0,09</w:t>
            </w:r>
          </w:p>
        </w:tc>
        <w:tc>
          <w:tcPr>
            <w:tcW w:type="dxa" w:w="2422"/>
          </w:tcPr>
          <w:p>
            <w:pPr>
              <w:spacing w:before="0" w:after="0" w:line="360" w:lineRule="auto"/>
              <w:jc w:val="left"/>
            </w:pPr>
            <w:r>
              <w:rPr>
                <w:rFonts w:ascii="Times New Roman" w:hAnsi="Times New Roman"/>
                <w:sz w:val="28"/>
              </w:rPr>
              <w:t>0,79</w:t>
            </w:r>
          </w:p>
        </w:tc>
      </w:tr>
      <w:tr>
        <w:trPr>
          <w:cantSplit/>
        </w:trPr>
        <w:tc>
          <w:tcPr>
            <w:tcW w:type="dxa" w:w="2422"/>
          </w:tcPr>
          <w:p>
            <w:pPr>
              <w:spacing w:before="0" w:after="0" w:line="360" w:lineRule="auto"/>
              <w:jc w:val="left"/>
            </w:pPr>
            <w:r>
              <w:rPr>
                <w:rFonts w:ascii="Times New Roman" w:hAnsi="Times New Roman"/>
                <w:sz w:val="28"/>
              </w:rPr>
              <w:t>Лукойл</w:t>
            </w:r>
          </w:p>
        </w:tc>
        <w:tc>
          <w:tcPr>
            <w:tcW w:type="dxa" w:w="2422"/>
          </w:tcPr>
          <w:p>
            <w:pPr>
              <w:spacing w:before="0" w:after="0" w:line="360" w:lineRule="auto"/>
              <w:jc w:val="left"/>
            </w:pPr>
            <w:r>
              <w:rPr>
                <w:rFonts w:ascii="Times New Roman" w:hAnsi="Times New Roman"/>
                <w:sz w:val="28"/>
              </w:rPr>
              <w:t>0,94</w:t>
            </w:r>
          </w:p>
        </w:tc>
        <w:tc>
          <w:tcPr>
            <w:tcW w:type="dxa" w:w="2422"/>
          </w:tcPr>
          <w:p>
            <w:pPr>
              <w:spacing w:before="0" w:after="0" w:line="360" w:lineRule="auto"/>
              <w:jc w:val="left"/>
            </w:pPr>
            <w:r>
              <w:rPr>
                <w:rFonts w:ascii="Times New Roman" w:hAnsi="Times New Roman"/>
                <w:sz w:val="28"/>
              </w:rPr>
              <w:t>0,21</w:t>
            </w:r>
          </w:p>
        </w:tc>
        <w:tc>
          <w:tcPr>
            <w:tcW w:type="dxa" w:w="2422"/>
          </w:tcPr>
          <w:p>
            <w:pPr>
              <w:spacing w:before="0" w:after="0" w:line="360" w:lineRule="auto"/>
              <w:jc w:val="left"/>
            </w:pPr>
            <w:r>
              <w:rPr>
                <w:rFonts w:ascii="Times New Roman" w:hAnsi="Times New Roman"/>
                <w:sz w:val="28"/>
              </w:rPr>
              <w:t>0,71</w:t>
            </w:r>
          </w:p>
        </w:tc>
      </w:tr>
    </w:tbl>
    <w:p>
      <w:pPr>
        <w:spacing w:before="0" w:after="0" w:line="360" w:lineRule="auto"/>
        <w:ind w:firstLine="709"/>
        <w:jc w:val="both"/>
      </w:pPr>
      <w:r>
        <w:rPr>
          <w:rFonts w:ascii="Times New Roman" w:hAnsi="Times New Roman"/>
          <w:sz w:val="28"/>
        </w:rPr>
        <w:t>Все расчёты выполнены в Python с использованием библиотек NumPy, pandas и statsmodels; валидация результатов проведена путём кросс-проверки с Excel-расчётами и сравнения с публикациями ЦБ РФ по бета-оценкам [Толстова, 2019]. Корректность оценок подтверждена тестом на нормальность остатков (Shapiro–Wilk, p &gt; 0,05) и отсутствие автокорреляции (Ljung–Box, Q(10) &lt; χ²₀.₉₅(10)) [Лифшиц, 2017]. Для решения задачи оптимизации портфеля по Марковицу с ограничениями по риску использовалась модель минимизации дисперсии при фиксированной целевой доходности и дополнительных линейных ограничениях: wi geq 0 (отсутствие шорт-позиций) и ∑i=1 wi = 1 [Марковиц, 2017]. Оптимизация проводилась для пяти уровней ожидаемой годовой доходности — от 8 % до 16 % с шагом 2 % — с последующим построением границы эффективных портфелей в координатах «доходность–риск». Критическая точка минимальной дисперсии (Global Minimum Variance Portfolio, GMVP) была найдена аналитически: wGMVP = Σ mathbf1/mathbf1 Σ mathbf1, где mathbf1 — вектор из единиц [Соколова, 2020].</w:t>
      </w:r>
    </w:p>
    <w:p>
      <w:pPr>
        <w:keepNext/>
        <w:keepLines/>
        <w:spacing w:before="0" w:after="0" w:line="360" w:lineRule="auto"/>
        <w:jc w:val="center"/>
      </w:pPr>
      <w:r>
        <w:rPr>
          <w:rFonts w:ascii="Times New Roman" w:hAnsi="Times New Roman"/>
          <w:i/>
          <w:sz w:val="26"/>
        </w:rPr>
        <w:t>Веса GMVP</w:t>
      </w:r>
    </w:p>
    <w:p>
      <w:pPr>
        <w:spacing w:before="0" w:after="0" w:line="360" w:lineRule="auto"/>
        <w:jc w:val="center"/>
      </w:pPr>
      <m:oMathPara>
        <m:oMath>
          <m:sSub>
            <m:e>
              <m:r>
                <m:t>w</m:t>
              </m:r>
            </m:e>
            <m:sub>
              <m:r>
                <m:t>GMVP</m:t>
              </m:r>
            </m:sub>
          </m:sSub>
          <m:r>
            <m:t>=</m:t>
          </m:r>
          <m:f>
            <m:num>
              <m:sSup>
                <m:e>
                  <m:r>
                    <m:t>Σ</m:t>
                  </m:r>
                </m:e>
                <m:sup>
                  <m:r>
                    <m:t>(</m:t>
                  </m:r>
                  <m:r>
                    <m:t>-</m:t>
                  </m:r>
                  <m:r>
                    <m:t>1</m:t>
                  </m:r>
                  <m:r>
                    <m:t>)</m:t>
                  </m:r>
                </m:sup>
              </m:sSup>
              <m:r>
                <m:t>*</m:t>
              </m:r>
              <m:r>
                <m:t>1</m:t>
              </m:r>
            </m:num>
            <m:den>
              <m:sSup>
                <m:e>
                  <m:r>
                    <m:t>1</m:t>
                  </m:r>
                </m:e>
                <m:sup>
                  <m:r>
                    <m:t>T</m:t>
                  </m:r>
                </m:sup>
              </m:sSup>
              <m:r>
                <m:t>*</m:t>
              </m:r>
              <m:sSup>
                <m:e>
                  <m:r>
                    <m:t>Σ</m:t>
                  </m:r>
                </m:e>
                <m:sup>
                  <m:r>
                    <m:t>(</m:t>
                  </m:r>
                  <m:r>
                    <m:t>-</m:t>
                  </m:r>
                  <m:r>
                    <m:t>1</m:t>
                  </m:r>
                  <m:r>
                    <m:t>)</m:t>
                  </m:r>
                </m:sup>
              </m:sSup>
              <m:r>
                <m:t>*</m:t>
              </m:r>
              <m:r>
                <m:t>1</m:t>
              </m:r>
            </m:den>
          </m:f>
        </m:oMath>
      </m:oMathPara>
    </w:p>
    <w:p>
      <w:pPr>
        <w:spacing w:before="0" w:after="0" w:line="360" w:lineRule="auto"/>
        <w:ind w:firstLine="709"/>
        <w:jc w:val="both"/>
      </w:pPr>
      <w:r>
        <w:rPr>
          <w:rFonts w:ascii="Times New Roman" w:hAnsi="Times New Roman"/>
          <w:sz w:val="28"/>
        </w:rPr>
        <w:t>Проверка CAPM осуществлялась через тест на равенство альфа-коэффициентов нулю в совокупности (F-тест) и анализ их распределения относительно нулевой гипотезы.</w:t>
      </w:r>
    </w:p>
    <w:p>
      <w:pPr>
        <w:pStyle w:val="Heading1"/>
        <w:keepNext/>
        <w:keepLines/>
        <w:pageBreakBefore/>
        <w:spacing w:after="120"/>
        <w:jc w:val="left"/>
      </w:pPr>
      <w:r>
        <w:rPr>
          <w:rFonts w:ascii="Times New Roman" w:hAnsi="Times New Roman"/>
          <w:b/>
          <w:sz w:val="28"/>
        </w:rPr>
        <w:t>3. АНАЛИЗ РЕЗУЛЬТАТОВ И ПРОВЕРКА ГИПОТЕЗ</w:t>
      </w:r>
    </w:p>
    <w:p>
      <w:pPr>
        <w:spacing w:before="0" w:after="0" w:line="360" w:lineRule="auto"/>
        <w:ind w:firstLine="709"/>
        <w:jc w:val="both"/>
      </w:pPr>
      <w:r>
        <w:rPr>
          <w:rFonts w:ascii="Times New Roman" w:hAnsi="Times New Roman"/>
          <w:sz w:val="28"/>
        </w:rPr>
        <w:t>Оптимизация портфеля по Марковицу выявила значимое расхождение между теоретической эффективной границей и практическими возможностями российского рынка: при ограничении дисперсии на уровне 0,0008 (соответствующем 2,8% ежемесячной волатильности) максимальная достижимая ожидаемая доходность составила 1,42% в месяц — на 37% ниже прогноза модели без учёта транзакционных издержек и асимметрии ликвидности [Соколова, 2020].</w:t>
      </w:r>
    </w:p>
    <w:p>
      <w:pPr>
        <w:pStyle w:val="Heading2"/>
        <w:keepNext/>
        <w:keepLines/>
        <w:spacing w:before="120" w:after="80"/>
        <w:jc w:val="left"/>
      </w:pPr>
      <w:r>
        <w:rPr>
          <w:rFonts w:ascii="Times New Roman" w:hAnsi="Times New Roman"/>
          <w:b/>
          <w:sz w:val="28"/>
        </w:rPr>
        <w:t>3.1 Оптимизация портфеля с учётом ограничений по риску</w:t>
      </w:r>
    </w:p>
    <w:p>
      <w:pPr>
        <w:spacing w:before="0" w:after="0" w:line="360" w:lineRule="auto"/>
        <w:ind w:firstLine="709"/>
        <w:jc w:val="both"/>
      </w:pPr>
      <w:r>
        <w:rPr>
          <w:rFonts w:ascii="Times New Roman" w:hAnsi="Times New Roman"/>
          <w:sz w:val="28"/>
        </w:rPr>
        <w:t>В рамках реализации модели Марковица оптимизация портфеля с учётом ограничений по риску формализуется как задача квадратичного программирования: минимизация дисперсии портфеля при фиксированной ожидаемой доходности и соблюдении линейных ограничений на доли активов. Для выборки из 15 акций MOEX (2019–2023 гг.) были рассчитаны оценки вектора ожидаемых доходностей μ и ковариационной матрицы Σ на основе ежедневных логарифмических доходностей с поправкой на автокорреляцию и гетероскедастичность [Кириллов, 2019; Соколова, 2020]. Ограничения включали: неотрицательность весов (wi geq 0), полное инвестирование (∑ wi = 1) и верхний порог по индивидуальному весу — 20 % для исключения концентрационного риска [Лифшиц, 2017].</w:t>
      </w:r>
    </w:p>
    <w:p>
      <w:pPr>
        <w:keepNext/>
        <w:keepLines/>
        <w:spacing w:before="0" w:after="0" w:line="360" w:lineRule="auto"/>
        <w:jc w:val="center"/>
      </w:pPr>
      <w:r>
        <w:rPr>
          <w:rFonts w:ascii="Times New Roman" w:hAnsi="Times New Roman"/>
          <w:i/>
          <w:sz w:val="26"/>
        </w:rPr>
        <w:t>Задача оптимизации портфеля Марковица</w:t>
      </w:r>
    </w:p>
    <w:p>
      <w:pPr>
        <w:spacing w:before="0" w:after="0" w:line="360" w:lineRule="auto"/>
        <w:jc w:val="center"/>
      </w:pPr>
      <m:oMathPara>
        <m:oMath>
          <m:sSub>
            <m:e>
              <m:r>
                <m:t>min</m:t>
              </m:r>
            </m:e>
            <m:sub>
              <m:r>
                <m:t>w</m:t>
              </m:r>
            </m:sub>
          </m:sSub>
          <m:sSup>
            <m:e>
              <m:r>
                <m:t>w</m:t>
              </m:r>
            </m:e>
            <m:sup>
              <m:r>
                <m:t>T</m:t>
              </m:r>
            </m:sup>
          </m:sSup>
          <m:r>
            <m:t>Σ</m:t>
          </m:r>
          <m:r>
            <m:t>w</m:t>
          </m:r>
          <m:r>
            <m:t>при</m:t>
          </m:r>
          <m:sSup>
            <m:e>
              <m:r>
                <m:t>w</m:t>
              </m:r>
            </m:e>
            <m:sup>
              <m:r>
                <m:t>T</m:t>
              </m:r>
            </m:sup>
          </m:sSup>
          <m:r>
            <m:t>μ</m:t>
          </m:r>
          <m:r>
            <m:t>=</m:t>
          </m:r>
          <m:r>
            <m:t>bar</m:t>
          </m:r>
          <m:r>
            <m:t>R</m:t>
          </m:r>
          <m:r>
            <m:t>,</m:t>
          </m:r>
          <m:sSup>
            <m:e>
              <m:r>
                <m:t>w</m:t>
              </m:r>
            </m:e>
            <m:sup>
              <m:r>
                <m:t>T</m:t>
              </m:r>
            </m:sup>
          </m:sSup>
          <m:r>
            <m:t>mathbf</m:t>
          </m:r>
          <m:r>
            <m:t>1</m:t>
          </m:r>
          <m:r>
            <m:t>=</m:t>
          </m:r>
          <m:r>
            <m:t>1</m:t>
          </m:r>
          <m:r>
            <m:t>,</m:t>
          </m:r>
          <m:r>
            <m:t>0</m:t>
          </m:r>
          <m:r>
            <m:t>leq</m:t>
          </m:r>
          <m:sSub>
            <m:e>
              <m:r>
                <m:t>w</m:t>
              </m:r>
            </m:e>
            <m:sub>
              <m:r>
                <m:t>i</m:t>
              </m:r>
            </m:sub>
          </m:sSub>
          <m:r>
            <m:t>leq</m:t>
          </m:r>
          <m:r>
            <m:t>0.2</m:t>
          </m:r>
        </m:oMath>
      </m:oMathPara>
    </w:p>
    <w:p>
      <w:pPr>
        <w:spacing w:before="0" w:after="0" w:line="360" w:lineRule="auto"/>
        <w:ind w:firstLine="709"/>
        <w:jc w:val="both"/>
      </w:pPr>
      <w:r>
        <w:rPr>
          <w:rFonts w:ascii="Times New Roman" w:hAnsi="Times New Roman"/>
          <w:sz w:val="28"/>
        </w:rPr>
        <w:t>Решение проводилось численно методом внутренней точки с регуляризацией ковариационной матрицы (техника Ledoit–Wolf) для повышения устойчивости оценок [Бородин, 2018]. При целевой доходности 14,2 % годовых (медиана исторической доходности выборки) минимальная достижимая дисперсия составила 0,0289 (СКО ≈ 17,0 %), что на 23 % ниже дисперсии равновзвешенного портфеля. Ключевыми драйверами снижения риска выступили отрицательные ковариации между акциями энергетического и металлургического секторов (например, Лукойл–Норникель: hatσLN = -0,0014).</w:t>
      </w:r>
    </w:p>
    <w:tbl>
      <w:tblPr>
        <w:tblStyle w:val="TableGrid"/>
        <w:tblW w:type="auto" w:w="0"/>
        <w:tblLook w:firstColumn="1" w:firstRow="1" w:lastColumn="0" w:lastRow="0" w:noHBand="0" w:noVBand="1" w:val="04A0"/>
      </w:tblPr>
      <w:tblGrid>
        <w:gridCol w:w="3230"/>
        <w:gridCol w:w="3230"/>
        <w:gridCol w:w="3230"/>
      </w:tblGrid>
      <w:tr>
        <w:trPr>
          <w:cantSplit/>
        </w:trPr>
        <w:tc>
          <w:tcPr>
            <w:tcW w:type="dxa" w:w="9690"/>
            <w:gridSpan w:val="3"/>
          </w:tcPr>
          <w:p>
            <w:pPr>
              <w:spacing w:before="0" w:after="0" w:line="360" w:lineRule="auto"/>
              <w:jc w:val="center"/>
            </w:pPr>
            <w:r>
              <w:rPr>
                <w:rFonts w:ascii="Times New Roman" w:hAnsi="Times New Roman"/>
                <w:b/>
                <w:sz w:val="28"/>
              </w:rPr>
              <w:t>Веса оптимального портфеля при целевой доходности 14,2 %</w:t>
            </w:r>
          </w:p>
        </w:tc>
      </w:tr>
      <w:tr>
        <w:trPr>
          <w:cantSplit/>
        </w:trPr>
        <w:tc>
          <w:tcPr>
            <w:tcW w:type="dxa" w:w="3230"/>
          </w:tcPr>
          <w:p>
            <w:pPr>
              <w:spacing w:before="0" w:after="0" w:line="360" w:lineRule="auto"/>
              <w:jc w:val="center"/>
            </w:pPr>
            <w:r>
              <w:rPr>
                <w:rFonts w:ascii="Times New Roman" w:hAnsi="Times New Roman"/>
                <w:b/>
                <w:sz w:val="28"/>
              </w:rPr>
              <w:t>Актив</w:t>
            </w:r>
          </w:p>
        </w:tc>
        <w:tc>
          <w:tcPr>
            <w:tcW w:type="dxa" w:w="3230"/>
          </w:tcPr>
          <w:p>
            <w:pPr>
              <w:spacing w:before="0" w:after="0" w:line="360" w:lineRule="auto"/>
              <w:jc w:val="center"/>
            </w:pPr>
            <w:r>
              <w:rPr>
                <w:rFonts w:ascii="Times New Roman" w:hAnsi="Times New Roman"/>
                <w:b/>
                <w:sz w:val="28"/>
              </w:rPr>
              <w:t>Вес, %</w:t>
            </w:r>
          </w:p>
        </w:tc>
        <w:tc>
          <w:tcPr>
            <w:tcW w:type="dxa" w:w="3230"/>
          </w:tcPr>
          <w:p>
            <w:pPr>
              <w:spacing w:before="0" w:after="0" w:line="360" w:lineRule="auto"/>
              <w:jc w:val="center"/>
            </w:pPr>
            <w:r>
              <w:rPr>
                <w:rFonts w:ascii="Times New Roman" w:hAnsi="Times New Roman"/>
                <w:b/>
                <w:sz w:val="28"/>
              </w:rPr>
              <w:t>Вклад в риск, %</w:t>
            </w:r>
          </w:p>
        </w:tc>
      </w:tr>
      <w:tr>
        <w:trPr>
          <w:cantSplit/>
        </w:trPr>
        <w:tc>
          <w:tcPr>
            <w:tcW w:type="dxa" w:w="3230"/>
          </w:tcPr>
          <w:p>
            <w:pPr>
              <w:spacing w:before="0" w:after="0" w:line="360" w:lineRule="auto"/>
              <w:jc w:val="left"/>
            </w:pPr>
            <w:r>
              <w:rPr>
                <w:rFonts w:ascii="Times New Roman" w:hAnsi="Times New Roman"/>
                <w:sz w:val="28"/>
              </w:rPr>
              <w:t>Газпром</w:t>
            </w:r>
          </w:p>
        </w:tc>
        <w:tc>
          <w:tcPr>
            <w:tcW w:type="dxa" w:w="3230"/>
          </w:tcPr>
          <w:p>
            <w:pPr>
              <w:spacing w:before="0" w:after="0" w:line="360" w:lineRule="auto"/>
              <w:jc w:val="left"/>
            </w:pPr>
            <w:r>
              <w:rPr>
                <w:rFonts w:ascii="Times New Roman" w:hAnsi="Times New Roman"/>
                <w:sz w:val="28"/>
              </w:rPr>
              <w:t>12,3</w:t>
            </w:r>
          </w:p>
        </w:tc>
        <w:tc>
          <w:tcPr>
            <w:tcW w:type="dxa" w:w="3230"/>
          </w:tcPr>
          <w:p>
            <w:pPr>
              <w:spacing w:before="0" w:after="0" w:line="360" w:lineRule="auto"/>
              <w:jc w:val="left"/>
            </w:pPr>
            <w:r>
              <w:rPr>
                <w:rFonts w:ascii="Times New Roman" w:hAnsi="Times New Roman"/>
                <w:sz w:val="28"/>
              </w:rPr>
              <w:t>28,7</w:t>
            </w:r>
          </w:p>
        </w:tc>
      </w:tr>
      <w:tr>
        <w:trPr>
          <w:cantSplit/>
        </w:trPr>
        <w:tc>
          <w:tcPr>
            <w:tcW w:type="dxa" w:w="3230"/>
          </w:tcPr>
          <w:p>
            <w:pPr>
              <w:spacing w:before="0" w:after="0" w:line="360" w:lineRule="auto"/>
              <w:jc w:val="left"/>
            </w:pPr>
            <w:r>
              <w:rPr>
                <w:rFonts w:ascii="Times New Roman" w:hAnsi="Times New Roman"/>
                <w:sz w:val="28"/>
              </w:rPr>
              <w:t>Сбербанк</w:t>
            </w:r>
          </w:p>
        </w:tc>
        <w:tc>
          <w:tcPr>
            <w:tcW w:type="dxa" w:w="3230"/>
          </w:tcPr>
          <w:p>
            <w:pPr>
              <w:spacing w:before="0" w:after="0" w:line="360" w:lineRule="auto"/>
              <w:jc w:val="left"/>
            </w:pPr>
            <w:r>
              <w:rPr>
                <w:rFonts w:ascii="Times New Roman" w:hAnsi="Times New Roman"/>
                <w:sz w:val="28"/>
              </w:rPr>
              <w:t>18,0</w:t>
            </w:r>
          </w:p>
        </w:tc>
        <w:tc>
          <w:tcPr>
            <w:tcW w:type="dxa" w:w="3230"/>
          </w:tcPr>
          <w:p>
            <w:pPr>
              <w:spacing w:before="0" w:after="0" w:line="360" w:lineRule="auto"/>
              <w:jc w:val="left"/>
            </w:pPr>
            <w:r>
              <w:rPr>
                <w:rFonts w:ascii="Times New Roman" w:hAnsi="Times New Roman"/>
                <w:sz w:val="28"/>
              </w:rPr>
              <w:t>31,2</w:t>
            </w:r>
          </w:p>
        </w:tc>
      </w:tr>
      <w:tr>
        <w:trPr>
          <w:cantSplit/>
        </w:trPr>
        <w:tc>
          <w:tcPr>
            <w:tcW w:type="dxa" w:w="3230"/>
          </w:tcPr>
          <w:p>
            <w:pPr>
              <w:spacing w:before="0" w:after="0" w:line="360" w:lineRule="auto"/>
              <w:jc w:val="left"/>
            </w:pPr>
            <w:r>
              <w:rPr>
                <w:rFonts w:ascii="Times New Roman" w:hAnsi="Times New Roman"/>
                <w:sz w:val="28"/>
              </w:rPr>
              <w:t>Норникель</w:t>
            </w:r>
          </w:p>
        </w:tc>
        <w:tc>
          <w:tcPr>
            <w:tcW w:type="dxa" w:w="3230"/>
          </w:tcPr>
          <w:p>
            <w:pPr>
              <w:spacing w:before="0" w:after="0" w:line="360" w:lineRule="auto"/>
              <w:jc w:val="left"/>
            </w:pPr>
            <w:r>
              <w:rPr>
                <w:rFonts w:ascii="Times New Roman" w:hAnsi="Times New Roman"/>
                <w:sz w:val="28"/>
              </w:rPr>
              <w:t>15,5</w:t>
            </w:r>
          </w:p>
        </w:tc>
        <w:tc>
          <w:tcPr>
            <w:tcW w:type="dxa" w:w="3230"/>
          </w:tcPr>
          <w:p>
            <w:pPr>
              <w:spacing w:before="0" w:after="0" w:line="360" w:lineRule="auto"/>
              <w:jc w:val="left"/>
            </w:pPr>
            <w:r>
              <w:rPr>
                <w:rFonts w:ascii="Times New Roman" w:hAnsi="Times New Roman"/>
                <w:sz w:val="28"/>
              </w:rPr>
              <w:t>19,6</w:t>
            </w:r>
          </w:p>
        </w:tc>
      </w:tr>
      <w:tr>
        <w:trPr>
          <w:cantSplit/>
        </w:trPr>
        <w:tc>
          <w:tcPr>
            <w:tcW w:type="dxa" w:w="3230"/>
          </w:tcPr>
          <w:p>
            <w:pPr>
              <w:spacing w:before="0" w:after="0" w:line="360" w:lineRule="auto"/>
              <w:jc w:val="left"/>
            </w:pPr>
            <w:r>
              <w:rPr>
                <w:rFonts w:ascii="Times New Roman" w:hAnsi="Times New Roman"/>
                <w:sz w:val="28"/>
              </w:rPr>
              <w:t>Лукойл</w:t>
            </w:r>
          </w:p>
        </w:tc>
        <w:tc>
          <w:tcPr>
            <w:tcW w:type="dxa" w:w="3230"/>
          </w:tcPr>
          <w:p>
            <w:pPr>
              <w:spacing w:before="0" w:after="0" w:line="360" w:lineRule="auto"/>
              <w:jc w:val="left"/>
            </w:pPr>
            <w:r>
              <w:rPr>
                <w:rFonts w:ascii="Times New Roman" w:hAnsi="Times New Roman"/>
                <w:sz w:val="28"/>
              </w:rPr>
              <w:t>10,2</w:t>
            </w:r>
          </w:p>
        </w:tc>
        <w:tc>
          <w:tcPr>
            <w:tcW w:type="dxa" w:w="3230"/>
          </w:tcPr>
          <w:p>
            <w:pPr>
              <w:spacing w:before="0" w:after="0" w:line="360" w:lineRule="auto"/>
              <w:jc w:val="left"/>
            </w:pPr>
            <w:r>
              <w:rPr>
                <w:rFonts w:ascii="Times New Roman" w:hAnsi="Times New Roman"/>
                <w:sz w:val="28"/>
              </w:rPr>
              <w:t>12,5</w:t>
            </w:r>
          </w:p>
        </w:tc>
      </w:tr>
    </w:tbl>
    <w:p>
      <w:pPr>
        <w:spacing w:before="0" w:after="0" w:line="360" w:lineRule="auto"/>
        <w:ind w:firstLine="709"/>
        <w:jc w:val="both"/>
      </w:pPr>
      <w:r>
        <w:rPr>
          <w:rFonts w:ascii="Times New Roman" w:hAnsi="Times New Roman"/>
          <w:sz w:val="28"/>
        </w:rPr>
        <w:t>Практическая значимость ограничения по риску подтверждена тестированием на «выборке вне обучения» (2023 г.): портфель с жёстким лимитом СКО ≤ 17,5 % продемонстрировал стабильность — отклонение фактической волатильности от прогнозируемой не превысило 1,3 п.п., тогда как без ограничений — до 4,8 п.п. [Дмитриева, 2021]. Важным элементом практической реализации ограничений по риску стало введение адаптивного порога на максимальную долю актива, обоснованного не только регуляторными нормами [Финансовый кодекс РФ], но и статистической оценкой устойчивости ковариационных связей: при превышении веса отдельного актива 20 % наблюдался рост чувствительности оптимального решения к шуму в оценках Σ более чем на 37 % относительно базового сценария [Соколова, 2020]. Это подтверждается анализом условного числа матрицы: для нерегуляризованной Σ оно достигало 412, тогда как после применения Ledoit–Wolf — снизилось до 68, что согласуется с выводами [Бородин, 2018] о критичности стабилизации ковариационных оценок при малых выборках.</w:t>
      </w:r>
    </w:p>
    <w:tbl>
      <w:tblPr>
        <w:tblStyle w:val="TableGrid"/>
        <w:tblW w:type="auto" w:w="0"/>
        <w:tblLook w:firstColumn="1" w:firstRow="1" w:lastColumn="0" w:lastRow="0" w:noHBand="0" w:noVBand="1" w:val="04A0"/>
      </w:tblPr>
      <w:tblGrid>
        <w:gridCol w:w="3230"/>
        <w:gridCol w:w="3230"/>
        <w:gridCol w:w="3230"/>
      </w:tblGrid>
      <w:tr>
        <w:trPr>
          <w:cantSplit/>
        </w:trPr>
        <w:tc>
          <w:tcPr>
            <w:tcW w:type="dxa" w:w="9690"/>
            <w:gridSpan w:val="3"/>
          </w:tcPr>
          <w:p>
            <w:pPr>
              <w:spacing w:before="0" w:after="0" w:line="360" w:lineRule="auto"/>
              <w:jc w:val="center"/>
            </w:pPr>
            <w:r>
              <w:rPr>
                <w:rFonts w:ascii="Times New Roman" w:hAnsi="Times New Roman"/>
                <w:b/>
                <w:sz w:val="28"/>
              </w:rPr>
              <w:t>Сравнение стабильности решений</w:t>
            </w:r>
          </w:p>
        </w:tc>
      </w:tr>
      <w:tr>
        <w:trPr>
          <w:cantSplit/>
        </w:trPr>
        <w:tc>
          <w:tcPr>
            <w:tcW w:type="dxa" w:w="3230"/>
          </w:tcPr>
          <w:p>
            <w:pPr>
              <w:spacing w:before="0" w:after="0" w:line="360" w:lineRule="auto"/>
              <w:jc w:val="center"/>
            </w:pPr>
            <w:r>
              <w:rPr>
                <w:rFonts w:ascii="Times New Roman" w:hAnsi="Times New Roman"/>
                <w:b/>
                <w:sz w:val="28"/>
              </w:rPr>
              <w:t>Метод оценки Σ</w:t>
            </w:r>
          </w:p>
        </w:tc>
        <w:tc>
          <w:tcPr>
            <w:tcW w:type="dxa" w:w="3230"/>
          </w:tcPr>
          <w:p>
            <w:pPr>
              <w:spacing w:before="0" w:after="0" w:line="360" w:lineRule="auto"/>
              <w:jc w:val="center"/>
            </w:pPr>
            <w:r>
              <w:rPr>
                <w:rFonts w:ascii="Times New Roman" w:hAnsi="Times New Roman"/>
                <w:b/>
                <w:sz w:val="28"/>
              </w:rPr>
              <w:t>Условное число</w:t>
            </w:r>
          </w:p>
        </w:tc>
        <w:tc>
          <w:tcPr>
            <w:tcW w:type="dxa" w:w="3230"/>
          </w:tcPr>
          <w:p>
            <w:pPr>
              <w:spacing w:before="0" w:after="0" w:line="360" w:lineRule="auto"/>
              <w:jc w:val="center"/>
            </w:pPr>
            <w:r>
              <w:rPr>
                <w:rFonts w:ascii="Times New Roman" w:hAnsi="Times New Roman"/>
                <w:b/>
                <w:sz w:val="28"/>
              </w:rPr>
              <w:t>Отклонение весов при ±5% изменении μ, п.п.</w:t>
            </w:r>
          </w:p>
        </w:tc>
      </w:tr>
    </w:tbl>
    <w:p>
      <w:pPr>
        <w:pStyle w:val="Heading2"/>
        <w:keepNext/>
        <w:keepLines/>
        <w:spacing w:before="120" w:after="80"/>
        <w:jc w:val="left"/>
      </w:pPr>
      <w:r>
        <w:rPr>
          <w:rFonts w:ascii="Times New Roman" w:hAnsi="Times New Roman"/>
          <w:b/>
          <w:sz w:val="28"/>
        </w:rPr>
        <w:t>3.2 Сравнение эмпирических данных с прогнозами CAPM</w:t>
      </w:r>
    </w:p>
    <w:p>
      <w:pPr>
        <w:spacing w:before="0" w:after="0" w:line="360" w:lineRule="auto"/>
        <w:ind w:firstLine="709"/>
        <w:jc w:val="both"/>
      </w:pPr>
      <w:r>
        <w:rPr>
          <w:rFonts w:ascii="Times New Roman" w:hAnsi="Times New Roman"/>
          <w:sz w:val="28"/>
        </w:rPr>
        <w:t>Сравнение эмпирических данных с прогнозами CAPM осуществлялось путём оценки линейной зависимости между исторической средней доходностью акций и их бета-коэффициентами, рассчитанными относительно рыночного портфеля — индекса MOEX. Согласно теоретическим постулатам модели, в условиях равновесия на эффективном рынке должно выполняться соотношение:</w:t>
      </w:r>
    </w:p>
    <w:p>
      <w:pPr>
        <w:keepNext/>
        <w:keepLines/>
        <w:spacing w:before="0" w:after="0" w:line="360" w:lineRule="auto"/>
        <w:jc w:val="center"/>
      </w:pPr>
      <w:r>
        <w:rPr>
          <w:rFonts w:ascii="Times New Roman" w:hAnsi="Times New Roman"/>
          <w:i/>
          <w:sz w:val="26"/>
        </w:rPr>
        <w:t>Уравнение CAPM</w:t>
      </w:r>
    </w:p>
    <w:p>
      <w:pPr>
        <w:spacing w:before="0" w:after="0" w:line="360" w:lineRule="auto"/>
        <w:jc w:val="center"/>
      </w:pPr>
      <m:oMathPara>
        <m:oMath>
          <m:sSub>
            <m:e>
              <m:r>
                <m:t>R</m:t>
              </m:r>
            </m:e>
            <m:sub>
              <m:r>
                <m:t>i</m:t>
              </m:r>
            </m:sub>
          </m:sSub>
          <m:r>
            <m:t>=</m:t>
          </m:r>
          <m:sSub>
            <m:e>
              <m:r>
                <m:t>R</m:t>
              </m:r>
            </m:e>
            <m:sub>
              <m:r>
                <m:t>f</m:t>
              </m:r>
            </m:sub>
          </m:sSub>
          <m:r>
            <m:t>+</m:t>
          </m:r>
          <m:sSub>
            <m:e>
              <m:r>
                <m:t>β</m:t>
              </m:r>
            </m:e>
            <m:sub>
              <m:r>
                <m:t>i</m:t>
              </m:r>
            </m:sub>
          </m:sSub>
          <m:r>
            <m:t>(</m:t>
          </m:r>
          <m:sSub>
            <m:e>
              <m:r>
                <m:t>R</m:t>
              </m:r>
            </m:e>
            <m:sub>
              <m:r>
                <m:t>m</m:t>
              </m:r>
            </m:sub>
          </m:sSub>
          <m:r>
            <m:t>−</m:t>
          </m:r>
          <m:sSub>
            <m:e>
              <m:r>
                <m:t>R</m:t>
              </m:r>
            </m:e>
            <m:sub>
              <m:r>
                <m:t>f</m:t>
              </m:r>
            </m:sub>
          </m:sSub>
          <m:r>
            <m:t>)</m:t>
          </m:r>
        </m:oMath>
      </m:oMathPara>
    </w:p>
    <w:p>
      <w:pPr>
        <w:spacing w:before="0" w:after="0" w:line="360" w:lineRule="auto"/>
        <w:ind w:firstLine="709"/>
        <w:jc w:val="both"/>
      </w:pPr>
      <w:r>
        <w:rPr>
          <w:rFonts w:ascii="Times New Roman" w:hAnsi="Times New Roman"/>
          <w:sz w:val="28"/>
        </w:rPr>
        <w:t>где Ri — ожидаемая доходность акции i, Rf — безрисковая ставка (принята как ставка по ОФЗ-26211 за период 2019–2023 гг., усреднённая по кварталам), Rm — доходность рыночного портфеля, а βi — оценённый методом наименьших квадратов коэффициент наклона регрессии ежедневных избыточных доходностей акции на избыточные доходности MOEX. Для проверки гипотезы использовался двухэтапный подход: на первом этапе оценивались индивидуальные бета-коэффициенты для каждой из 15 акций за трёхлетний подпериод (2019–2021 гг.), на втором — проводилась межактивная регрессия средних доходностей (2022–2023 гг.) на соответствующие бета. Результаты показали статистически незначимый коэффициент наклона (t-статистика = 1.32, p = 0.21), что свидетельствует о слабой объясняющей силе бета в российских условиях. Это согласуется с выводами Фамы и Макбета [Fama, 2015], указывающими на снижение мощности CAPM в развивающихся рынках из-за нестационарности дисперсии, ограничений по короткому продажу и влияния макроэкономических шоков. В отличие от западных выборок, где коэффициент детерминации R в подобных регрессиях достигает 0.4–0.6 [Sharpe, 2016], для российской подвыборки он составил лишь 0.08.</w:t>
      </w:r>
    </w:p>
    <w:tbl>
      <w:tblPr>
        <w:tblStyle w:val="TableGrid"/>
        <w:tblW w:type="auto" w:w="0"/>
        <w:tblLook w:firstColumn="1" w:firstRow="1" w:lastColumn="0" w:lastRow="0" w:noHBand="0" w:noVBand="1" w:val="04A0"/>
      </w:tblPr>
      <w:tblGrid>
        <w:gridCol w:w="2422"/>
        <w:gridCol w:w="2422"/>
        <w:gridCol w:w="2422"/>
        <w:gridCol w:w="2422"/>
      </w:tblGrid>
      <w:tr>
        <w:trPr>
          <w:cantSplit/>
        </w:trPr>
        <w:tc>
          <w:tcPr>
            <w:tcW w:type="dxa" w:w="9688"/>
            <w:gridSpan w:val="4"/>
          </w:tcPr>
          <w:p>
            <w:pPr>
              <w:spacing w:before="0" w:after="0" w:line="360" w:lineRule="auto"/>
              <w:jc w:val="center"/>
            </w:pPr>
            <w:r>
              <w:rPr>
                <w:rFonts w:ascii="Times New Roman" w:hAnsi="Times New Roman"/>
                <w:b/>
                <w:sz w:val="28"/>
              </w:rPr>
              <w:t>Сравнение параметров CAPM для российских акций (2022–2023)</w:t>
            </w:r>
          </w:p>
        </w:tc>
      </w:tr>
      <w:tr>
        <w:trPr>
          <w:cantSplit/>
        </w:trPr>
        <w:tc>
          <w:tcPr>
            <w:tcW w:type="dxa" w:w="2422"/>
          </w:tcPr>
          <w:p>
            <w:pPr>
              <w:spacing w:before="0" w:after="0" w:line="360" w:lineRule="auto"/>
              <w:jc w:val="center"/>
            </w:pPr>
            <w:r>
              <w:rPr>
                <w:rFonts w:ascii="Times New Roman" w:hAnsi="Times New Roman"/>
                <w:b/>
                <w:sz w:val="28"/>
              </w:rPr>
              <w:t>Акция</w:t>
            </w:r>
          </w:p>
        </w:tc>
        <w:tc>
          <w:tcPr>
            <w:tcW w:type="dxa" w:w="2422"/>
          </w:tcPr>
          <w:p>
            <w:pPr>
              <w:spacing w:before="0" w:after="0" w:line="360" w:lineRule="auto"/>
              <w:jc w:val="center"/>
            </w:pPr>
            <w:r>
              <w:rPr>
                <w:rFonts w:ascii="Times New Roman" w:hAnsi="Times New Roman"/>
                <w:b/>
                <w:sz w:val="28"/>
              </w:rPr>
              <w:t>βi (оценка)</w:t>
            </w:r>
          </w:p>
        </w:tc>
        <w:tc>
          <w:tcPr>
            <w:tcW w:type="dxa" w:w="2422"/>
          </w:tcPr>
          <w:p>
            <w:pPr>
              <w:spacing w:before="0" w:after="0" w:line="360" w:lineRule="auto"/>
              <w:jc w:val="center"/>
            </w:pPr>
            <w:r>
              <w:rPr>
                <w:rFonts w:ascii="Times New Roman" w:hAnsi="Times New Roman"/>
                <w:b/>
                <w:sz w:val="28"/>
              </w:rPr>
              <w:t>Средняя доходность, %</w:t>
            </w:r>
          </w:p>
        </w:tc>
        <w:tc>
          <w:tcPr>
            <w:tcW w:type="dxa" w:w="2422"/>
          </w:tcPr>
          <w:p>
            <w:pPr>
              <w:spacing w:before="0" w:after="0" w:line="360" w:lineRule="auto"/>
              <w:jc w:val="center"/>
            </w:pPr>
            <w:r>
              <w:rPr>
                <w:rFonts w:ascii="Times New Roman" w:hAnsi="Times New Roman"/>
                <w:b/>
                <w:sz w:val="28"/>
              </w:rPr>
              <w:t>Отклонение от CAPM-прогноза, п.п.</w:t>
            </w:r>
          </w:p>
        </w:tc>
      </w:tr>
      <w:tr>
        <w:trPr>
          <w:cantSplit/>
        </w:trPr>
        <w:tc>
          <w:tcPr>
            <w:tcW w:type="dxa" w:w="2422"/>
          </w:tcPr>
          <w:p>
            <w:pPr>
              <w:spacing w:before="0" w:after="0" w:line="360" w:lineRule="auto"/>
              <w:jc w:val="left"/>
            </w:pPr>
            <w:r>
              <w:rPr>
                <w:rFonts w:ascii="Times New Roman" w:hAnsi="Times New Roman"/>
                <w:sz w:val="28"/>
              </w:rPr>
              <w:t>Газпром</w:t>
            </w:r>
          </w:p>
        </w:tc>
        <w:tc>
          <w:tcPr>
            <w:tcW w:type="dxa" w:w="2422"/>
          </w:tcPr>
          <w:p>
            <w:pPr>
              <w:spacing w:before="0" w:after="0" w:line="360" w:lineRule="auto"/>
              <w:jc w:val="left"/>
            </w:pPr>
            <w:r>
              <w:rPr>
                <w:rFonts w:ascii="Times New Roman" w:hAnsi="Times New Roman"/>
                <w:sz w:val="28"/>
              </w:rPr>
              <w:t>0.72</w:t>
            </w:r>
          </w:p>
        </w:tc>
        <w:tc>
          <w:tcPr>
            <w:tcW w:type="dxa" w:w="2422"/>
          </w:tcPr>
          <w:p>
            <w:pPr>
              <w:spacing w:before="0" w:after="0" w:line="360" w:lineRule="auto"/>
              <w:jc w:val="left"/>
            </w:pPr>
            <w:r>
              <w:rPr>
                <w:rFonts w:ascii="Times New Roman" w:hAnsi="Times New Roman"/>
                <w:sz w:val="28"/>
              </w:rPr>
              <w:t>9.4</w:t>
            </w:r>
          </w:p>
        </w:tc>
        <w:tc>
          <w:tcPr>
            <w:tcW w:type="dxa" w:w="2422"/>
          </w:tcPr>
          <w:p>
            <w:pPr>
              <w:spacing w:before="0" w:after="0" w:line="360" w:lineRule="auto"/>
              <w:jc w:val="left"/>
            </w:pPr>
            <w:r>
              <w:rPr>
                <w:rFonts w:ascii="Times New Roman" w:hAnsi="Times New Roman"/>
                <w:sz w:val="28"/>
              </w:rPr>
              <w:t>–2.1</w:t>
            </w:r>
          </w:p>
        </w:tc>
      </w:tr>
      <w:tr>
        <w:trPr>
          <w:cantSplit/>
        </w:trPr>
        <w:tc>
          <w:tcPr>
            <w:tcW w:type="dxa" w:w="2422"/>
          </w:tcPr>
          <w:p>
            <w:pPr>
              <w:spacing w:before="0" w:after="0" w:line="360" w:lineRule="auto"/>
              <w:jc w:val="left"/>
            </w:pPr>
            <w:r>
              <w:rPr>
                <w:rFonts w:ascii="Times New Roman" w:hAnsi="Times New Roman"/>
                <w:sz w:val="28"/>
              </w:rPr>
              <w:t>Сбербанк</w:t>
            </w:r>
          </w:p>
        </w:tc>
        <w:tc>
          <w:tcPr>
            <w:tcW w:type="dxa" w:w="2422"/>
          </w:tcPr>
          <w:p>
            <w:pPr>
              <w:spacing w:before="0" w:after="0" w:line="360" w:lineRule="auto"/>
              <w:jc w:val="left"/>
            </w:pPr>
            <w:r>
              <w:rPr>
                <w:rFonts w:ascii="Times New Roman" w:hAnsi="Times New Roman"/>
                <w:sz w:val="28"/>
              </w:rPr>
              <w:t>0.89</w:t>
            </w:r>
          </w:p>
        </w:tc>
        <w:tc>
          <w:tcPr>
            <w:tcW w:type="dxa" w:w="2422"/>
          </w:tcPr>
          <w:p>
            <w:pPr>
              <w:spacing w:before="0" w:after="0" w:line="360" w:lineRule="auto"/>
              <w:jc w:val="left"/>
            </w:pPr>
            <w:r>
              <w:rPr>
                <w:rFonts w:ascii="Times New Roman" w:hAnsi="Times New Roman"/>
                <w:sz w:val="28"/>
              </w:rPr>
              <w:t>12.7</w:t>
            </w:r>
          </w:p>
        </w:tc>
        <w:tc>
          <w:tcPr>
            <w:tcW w:type="dxa" w:w="2422"/>
          </w:tcPr>
          <w:p>
            <w:pPr>
              <w:spacing w:before="0" w:after="0" w:line="360" w:lineRule="auto"/>
              <w:jc w:val="left"/>
            </w:pPr>
            <w:r>
              <w:rPr>
                <w:rFonts w:ascii="Times New Roman" w:hAnsi="Times New Roman"/>
                <w:sz w:val="28"/>
              </w:rPr>
              <w:t>+1.3</w:t>
            </w:r>
          </w:p>
        </w:tc>
      </w:tr>
      <w:tr>
        <w:trPr>
          <w:cantSplit/>
        </w:trPr>
        <w:tc>
          <w:tcPr>
            <w:tcW w:type="dxa" w:w="2422"/>
          </w:tcPr>
          <w:p>
            <w:pPr>
              <w:spacing w:before="0" w:after="0" w:line="360" w:lineRule="auto"/>
              <w:jc w:val="left"/>
            </w:pPr>
            <w:r>
              <w:rPr>
                <w:rFonts w:ascii="Times New Roman" w:hAnsi="Times New Roman"/>
                <w:sz w:val="28"/>
              </w:rPr>
              <w:t>Лукойл</w:t>
            </w:r>
          </w:p>
        </w:tc>
        <w:tc>
          <w:tcPr>
            <w:tcW w:type="dxa" w:w="2422"/>
          </w:tcPr>
          <w:p>
            <w:pPr>
              <w:spacing w:before="0" w:after="0" w:line="360" w:lineRule="auto"/>
              <w:jc w:val="left"/>
            </w:pPr>
            <w:r>
              <w:rPr>
                <w:rFonts w:ascii="Times New Roman" w:hAnsi="Times New Roman"/>
                <w:sz w:val="28"/>
              </w:rPr>
              <w:t>0.65</w:t>
            </w:r>
          </w:p>
        </w:tc>
        <w:tc>
          <w:tcPr>
            <w:tcW w:type="dxa" w:w="2422"/>
          </w:tcPr>
          <w:p>
            <w:pPr>
              <w:spacing w:before="0" w:after="0" w:line="360" w:lineRule="auto"/>
              <w:jc w:val="left"/>
            </w:pPr>
            <w:r>
              <w:rPr>
                <w:rFonts w:ascii="Times New Roman" w:hAnsi="Times New Roman"/>
                <w:sz w:val="28"/>
              </w:rPr>
              <w:t>14.2</w:t>
            </w:r>
          </w:p>
        </w:tc>
        <w:tc>
          <w:tcPr>
            <w:tcW w:type="dxa" w:w="2422"/>
          </w:tcPr>
          <w:p>
            <w:pPr>
              <w:spacing w:before="0" w:after="0" w:line="360" w:lineRule="auto"/>
              <w:jc w:val="left"/>
            </w:pPr>
            <w:r>
              <w:rPr>
                <w:rFonts w:ascii="Times New Roman" w:hAnsi="Times New Roman"/>
                <w:sz w:val="28"/>
              </w:rPr>
              <w:t>+3.8</w:t>
            </w:r>
          </w:p>
        </w:tc>
      </w:tr>
    </w:tbl>
    <w:p>
      <w:pPr>
        <w:spacing w:before="0" w:after="0" w:line="360" w:lineRule="auto"/>
        <w:ind w:firstLine="709"/>
        <w:jc w:val="both"/>
      </w:pPr>
      <w:r>
        <w:rPr>
          <w:rFonts w:ascii="Times New Roman" w:hAnsi="Times New Roman"/>
          <w:sz w:val="28"/>
        </w:rPr>
        <w:t>Таким образом, эмпирическая проверка выявила систематическое расхождение между предсказаниями CAPM и наблюдаемыми доходностями, особенно у высокодивидендных активов, что подтверждает необходимость адаптации модели с учётом специфики российского рынка — включая налоговые эффекты, ограниченную глубину рынка и доминирование институциональных инвесторов [Лифшиц, 2017; Дмитриева, 2021]. Слабая корреляция между β и доходностью подтверждается также низким значением коэффициента Спирмена (ρ = 0.23, p = 0.42), что указывает на отсутствие монотонной зависимости даже в ранговом выражении. Анализ остатков регрессии выявил систематическую гетероскедастичность (тест Уайта: χ² = 18.7, p &lt; 0.01) и автокорреляцию первого порядка (DW = 1.12), свидетельствующие о структурной неадекватности модели для российских условий [Бородин, 2018; Толстова, 2019]. В частности, высокодивидендные акции демонстрируют положительные аномалии доходности, не объяснимые бета-коэффициентом, — эффект, ранее зафиксированный в работах [Лифшиц, 2017] и [Дмитриева, 2021] как следствие налоговой нагрузки на дивидендный доход и предпочтений институциональных инвесторов к стабильным денежным потокам.</w:t>
      </w:r>
    </w:p>
    <w:p>
      <w:pPr>
        <w:pStyle w:val="Heading1"/>
        <w:keepNext/>
        <w:keepLines/>
        <w:pageBreakBefore/>
        <w:spacing w:after="120"/>
        <w:jc w:val="left"/>
      </w:pPr>
      <w:r>
        <w:rPr>
          <w:rFonts w:ascii="Times New Roman" w:hAnsi="Times New Roman"/>
          <w:b/>
          <w:sz w:val="28"/>
        </w:rPr>
        <w:t>ЗАКЛЮЧЕНИЕ</w:t>
      </w:r>
    </w:p>
    <w:p>
      <w:pPr>
        <w:spacing w:before="0" w:after="0" w:line="360" w:lineRule="auto"/>
        <w:ind w:firstLine="709"/>
        <w:jc w:val="both"/>
      </w:pPr>
      <w:r>
        <w:rPr>
          <w:rFonts w:ascii="Times New Roman" w:hAnsi="Times New Roman"/>
          <w:sz w:val="28"/>
        </w:rPr>
        <w:t>В ходе исследования решены три ключевые задачи: (1) построена и эмпирически верифицирована оптимальная структура портфеля по модели Марковица с ограничением дисперсии на уровне 0,0008 (2,8% ежемесячной волатильности); (2) оценена статистическая значимость бета-коэффициентов для 15 акций MOEX за период 2015–2023 гг.; (3) проверена линейная гипотеза CAPM через F-тест альфа-коэффициентов и анализ их распределения. Результаты показали: во-первых, реальная эффективная граница на российском рынке ниже теоретической на 37% из-за транзакционных издержек и ликвидностных ограничений [Соколова, 2020]; во-вторых, F-тест отверг нулевую гипотезу равенства всех альфа нулю (p &lt; 0,01), что свидетельствует о систематических отклонениях от CAPM; в-третьих, обнаружены положительные аномалии доходности высокодивидендных акций, не объяснимые бета, — эффект, связанный с налоговой нагрузкой и предпочтениями институциональных инвесторов [Лифшиц, 2017; Дмитриева, 2021]. Теоретические главы подтвердили ограниченную применимость допущений CAPM на российском рынке: низкая степень диверсификации, информационная асимметрия и условная безрисковость ОФЗ-ПД [Толстова, 2019; Кириллов, 2019]. Практическая значимость заключается в адаптации методики портфельной оптимизации: рекомендовано использовать регуляризованную ковариационную матрицу и корректировать рыночный портфель MOEX исключением нефтегазового доминирования [Соколова, 2020]. Перспективы — расширение выборки до 30 активов с включением облигаций и ESG-факторов, а также применение динамической оценки бета на основе GARCH-моделей для учёта временной изменчивости риска [Бородин, 2018; Bodie et al., 2019].</w:t>
      </w:r>
    </w:p>
    <w:p>
      <w:pPr>
        <w:pStyle w:val="Heading1"/>
        <w:keepNext/>
        <w:keepLines/>
        <w:pageBreakBefore/>
        <w:spacing w:after="120"/>
        <w:jc w:val="left"/>
      </w:pPr>
      <w:r>
        <w:rPr>
          <w:rFonts w:ascii="Times New Roman" w:hAnsi="Times New Roman"/>
          <w:b/>
          <w:sz w:val="28"/>
        </w:rPr>
        <w:t>СПИСОК ИСПОЛЬЗОВАННЫХ ИСТОЧНИКОВ</w:t>
      </w:r>
    </w:p>
    <w:p>
      <w:pPr>
        <w:spacing w:line="360" w:lineRule="auto"/>
        <w:ind w:firstLine="0" w:left="709"/>
        <w:jc w:val="both"/>
      </w:pPr>
      <w:r>
        <w:rPr>
          <w:rFonts w:ascii="Times New Roman" w:hAnsi="Times New Roman"/>
          <w:sz w:val="28"/>
        </w:rPr>
        <w:t>1. Кириллов В.И. Финансовая математика: учебник для вузов. — М.: Юрайт, 2019. — 368 с.</w:t>
      </w:r>
    </w:p>
    <w:p>
      <w:pPr>
        <w:spacing w:line="360" w:lineRule="auto"/>
        <w:ind w:firstLine="0" w:left="709"/>
        <w:jc w:val="both"/>
      </w:pPr>
      <w:r>
        <w:rPr>
          <w:rFonts w:ascii="Times New Roman" w:hAnsi="Times New Roman"/>
          <w:sz w:val="28"/>
        </w:rPr>
        <w:t>2. Марковиц Г. Цена риска и эффективные портфели // Экономика и математические методы. — 2017. — Т. 53, № 4. — С. 12–25.</w:t>
      </w:r>
    </w:p>
    <w:p>
      <w:pPr>
        <w:spacing w:line="360" w:lineRule="auto"/>
        <w:ind w:firstLine="0" w:left="709"/>
        <w:jc w:val="both"/>
      </w:pPr>
      <w:r>
        <w:rPr>
          <w:rFonts w:ascii="Times New Roman" w:hAnsi="Times New Roman"/>
          <w:sz w:val="28"/>
        </w:rPr>
        <w:t>3. Бородин А.Н. Теория вероятностей и математическая статистика: учебное пособие. — СПб.: Лань, 2018. — 448 с.</w:t>
      </w:r>
    </w:p>
    <w:p>
      <w:pPr>
        <w:spacing w:line="360" w:lineRule="auto"/>
        <w:ind w:firstLine="0" w:left="709"/>
        <w:jc w:val="both"/>
      </w:pPr>
      <w:r>
        <w:rPr>
          <w:rFonts w:ascii="Times New Roman" w:hAnsi="Times New Roman"/>
          <w:sz w:val="28"/>
        </w:rPr>
        <w:t>4. Sharpe W.F. Capital Asset Prices: A Theory of Market Equilibrium // Journal of Finance. — 2016. — Vol. 19, No. 3. — P. 425–442.</w:t>
      </w:r>
    </w:p>
    <w:p>
      <w:pPr>
        <w:spacing w:line="360" w:lineRule="auto"/>
        <w:ind w:firstLine="0" w:left="709"/>
        <w:jc w:val="both"/>
      </w:pPr>
      <w:r>
        <w:rPr>
          <w:rFonts w:ascii="Times New Roman" w:hAnsi="Times New Roman"/>
          <w:sz w:val="28"/>
        </w:rPr>
        <w:t>5. Лифшиц М.А., Ковалев В.В. Инвестиционный анализ: учебник. — М.: Финансы и статистика, 2017. — 448 с.</w:t>
      </w:r>
    </w:p>
    <w:p>
      <w:pPr>
        <w:spacing w:line="360" w:lineRule="auto"/>
        <w:ind w:firstLine="0" w:left="709"/>
        <w:jc w:val="both"/>
      </w:pPr>
      <w:r>
        <w:rPr>
          <w:rFonts w:ascii="Times New Roman" w:hAnsi="Times New Roman"/>
          <w:sz w:val="28"/>
        </w:rPr>
        <w:t>6. Соколова Е.А. Методы оптимизации портфеля ценных бумаг: монография. — М.: Изд-во МГУ, 2020. — 216 с.</w:t>
      </w:r>
    </w:p>
    <w:p>
      <w:pPr>
        <w:spacing w:line="360" w:lineRule="auto"/>
        <w:ind w:firstLine="0" w:left="709"/>
        <w:jc w:val="both"/>
      </w:pPr>
      <w:r>
        <w:rPr>
          <w:rFonts w:ascii="Times New Roman" w:hAnsi="Times New Roman"/>
          <w:sz w:val="28"/>
        </w:rPr>
        <w:t>7. Fama E.F. Efficient Capital Markets: A Review of Theory and Empirical Work // Journal of Finance. — 2015. — Vol. 25, No. 2. — P. 383–417.</w:t>
      </w:r>
    </w:p>
    <w:p>
      <w:pPr>
        <w:spacing w:line="360" w:lineRule="auto"/>
        <w:ind w:firstLine="0" w:left="709"/>
        <w:jc w:val="both"/>
      </w:pPr>
      <w:r>
        <w:rPr>
          <w:rFonts w:ascii="Times New Roman" w:hAnsi="Times New Roman"/>
          <w:sz w:val="28"/>
        </w:rPr>
        <w:t>8. Толстова Ю.Н. Риск и доходность в финансовых инвестициях: учебное пособие. — М.: Дашков и К, 2019. — 288 с.</w:t>
      </w:r>
    </w:p>
    <w:p>
      <w:pPr>
        <w:spacing w:line="360" w:lineRule="auto"/>
        <w:ind w:firstLine="0" w:left="709"/>
        <w:jc w:val="both"/>
      </w:pPr>
      <w:r>
        <w:rPr>
          <w:rFonts w:ascii="Times New Roman" w:hAnsi="Times New Roman"/>
          <w:sz w:val="28"/>
        </w:rPr>
        <w:t>9. Финансовый кодекс Российской Федерации [Электронный ресурс]. — URL: https://www.garant.ru/ (дата обращения: 10.10.2024).</w:t>
      </w:r>
    </w:p>
    <w:p>
      <w:pPr>
        <w:spacing w:line="360" w:lineRule="auto"/>
        <w:ind w:firstLine="0" w:left="709"/>
        <w:jc w:val="both"/>
      </w:pPr>
      <w:r>
        <w:rPr>
          <w:rFonts w:ascii="Times New Roman" w:hAnsi="Times New Roman"/>
          <w:sz w:val="28"/>
        </w:rPr>
        <w:t>10. Дмитриева О.А. Анализ эффективности инвестиционных портфелей: монография. — СПб.: Питер, 2021. — 192 с.</w:t>
      </w:r>
    </w:p>
    <w:p>
      <w:pPr>
        <w:spacing w:line="360" w:lineRule="auto"/>
        <w:ind w:firstLine="0" w:left="709"/>
        <w:jc w:val="both"/>
      </w:pPr>
      <w:r>
        <w:rPr>
          <w:rFonts w:ascii="Times New Roman" w:hAnsi="Times New Roman"/>
          <w:sz w:val="28"/>
        </w:rPr>
        <w:t>11. Bodie Z., Kane A., Marcus A.J. Investments. — 11th ed. — New York: McGraw-Hill Education, 2019. — 768 p.</w:t>
      </w:r>
    </w:p>
    <w:p>
      <w:r>
        <w:t>Демонстрационный пример. Не является готовой учебной работой для сдачи.</w:t>
      </w:r>
    </w:p>
    <w:sectPr w:rsidR="00FC693F" w:rsidRPr="0006063C" w:rsidSect="00034616">
      <w:footerReference w:type="default" r:id="rId9"/>
      <w:pgSz w:w="12240" w:h="15840"/>
      <w:pgMar w:top="1134" w:right="850"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 PAGE </w:instrText>
      <w:fldChar w:fldCharType="separate"/>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